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1F197E" w14:textId="1A7AD955" w:rsidR="00DA349F" w:rsidRPr="0099743C" w:rsidRDefault="00AB44E9" w:rsidP="0083552F">
      <w:pPr>
        <w:pBdr>
          <w:top w:val="nil"/>
          <w:left w:val="nil"/>
          <w:bottom w:val="nil"/>
          <w:right w:val="nil"/>
          <w:between w:val="nil"/>
        </w:pBdr>
        <w:spacing w:before="120"/>
        <w:rPr>
          <w:rFonts w:ascii="Century Gothic" w:eastAsia="Century Gothic" w:hAnsi="Century Gothic"/>
          <w:b/>
          <w:color w:val="000000"/>
        </w:rPr>
      </w:pPr>
      <w:r w:rsidRPr="0099743C">
        <w:rPr>
          <w:rFonts w:ascii="Century Gothic" w:eastAsia="Century Gothic" w:hAnsi="Century Gothic"/>
          <w:b/>
          <w:color w:val="000000"/>
        </w:rPr>
        <w:t xml:space="preserve">ANNEX </w:t>
      </w:r>
      <w:r w:rsidR="0083552F">
        <w:rPr>
          <w:rFonts w:ascii="Century Gothic" w:eastAsia="Century Gothic" w:hAnsi="Century Gothic"/>
          <w:b/>
          <w:color w:val="000000"/>
        </w:rPr>
        <w:t>3</w:t>
      </w:r>
      <w:r w:rsidRPr="0099743C">
        <w:rPr>
          <w:rFonts w:ascii="Century Gothic" w:eastAsia="Century Gothic" w:hAnsi="Century Gothic"/>
          <w:b/>
          <w:color w:val="000000"/>
        </w:rPr>
        <w:t xml:space="preserve">: OFFLINE </w:t>
      </w:r>
      <w:r>
        <w:rPr>
          <w:rFonts w:ascii="Century Gothic" w:eastAsia="Century Gothic" w:hAnsi="Century Gothic" w:cs="Century Gothic"/>
          <w:b/>
          <w:color w:val="000000"/>
        </w:rPr>
        <w:t>PORTFOLIO/</w:t>
      </w:r>
      <w:r w:rsidRPr="0099743C">
        <w:rPr>
          <w:rFonts w:ascii="Century Gothic" w:eastAsia="Century Gothic" w:hAnsi="Century Gothic"/>
          <w:b/>
          <w:color w:val="000000"/>
        </w:rPr>
        <w:t>PROJECT RISK REGISTER TEMPLATE</w:t>
      </w:r>
    </w:p>
    <w:p w14:paraId="6C1F197F" w14:textId="77777777" w:rsidR="00DA349F" w:rsidRDefault="00DA349F">
      <w:pPr>
        <w:pBdr>
          <w:top w:val="nil"/>
          <w:left w:val="nil"/>
          <w:bottom w:val="nil"/>
          <w:right w:val="nil"/>
          <w:between w:val="nil"/>
        </w:pBdr>
        <w:ind w:left="720"/>
        <w:rPr>
          <w:rFonts w:ascii="Century Gothic" w:eastAsia="Century Gothic" w:hAnsi="Century Gothic" w:cs="Century Gothic"/>
          <w:b/>
          <w:i/>
          <w:color w:val="000000"/>
          <w:sz w:val="20"/>
          <w:szCs w:val="20"/>
        </w:rPr>
      </w:pPr>
    </w:p>
    <w:p w14:paraId="362DB4BD" w14:textId="77777777" w:rsidR="00FC60B8" w:rsidRPr="0099743C" w:rsidRDefault="00FC60B8" w:rsidP="0099743C">
      <w:pPr>
        <w:pBdr>
          <w:top w:val="nil"/>
          <w:left w:val="nil"/>
          <w:bottom w:val="nil"/>
          <w:right w:val="nil"/>
          <w:between w:val="nil"/>
        </w:pBdr>
        <w:ind w:left="720"/>
        <w:rPr>
          <w:rFonts w:ascii="Century Gothic" w:eastAsia="Century Gothic" w:hAnsi="Century Gothic"/>
          <w:b/>
          <w:i/>
          <w:color w:val="000000"/>
          <w:sz w:val="20"/>
        </w:rPr>
      </w:pPr>
    </w:p>
    <w:tbl>
      <w:tblPr>
        <w:tblW w:w="15840" w:type="dxa"/>
        <w:tblInd w:w="-90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CellMar>
          <w:left w:w="115" w:type="dxa"/>
          <w:right w:w="115" w:type="dxa"/>
        </w:tblCellMar>
        <w:tblLook w:val="0000" w:firstRow="0" w:lastRow="0" w:firstColumn="0" w:lastColumn="0" w:noHBand="0" w:noVBand="0"/>
      </w:tblPr>
      <w:tblGrid>
        <w:gridCol w:w="10080"/>
        <w:gridCol w:w="2160"/>
        <w:gridCol w:w="3600"/>
      </w:tblGrid>
      <w:tr w:rsidR="00DA349F" w14:paraId="6C1F1983" w14:textId="77777777" w:rsidTr="007F2F38">
        <w:trPr>
          <w:trHeight w:val="450"/>
        </w:trPr>
        <w:tc>
          <w:tcPr>
            <w:tcW w:w="100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1F1980" w14:textId="25A44816" w:rsidR="00DA349F" w:rsidRPr="0099743C" w:rsidRDefault="00AB44E9" w:rsidP="0099743C">
            <w:pPr>
              <w:pBdr>
                <w:top w:val="nil"/>
                <w:left w:val="nil"/>
                <w:bottom w:val="nil"/>
                <w:right w:val="nil"/>
                <w:between w:val="nil"/>
              </w:pBdr>
              <w:spacing w:before="60" w:after="60"/>
              <w:jc w:val="both"/>
              <w:rPr>
                <w:rFonts w:ascii="Century Gothic" w:eastAsia="Century Gothic" w:hAnsi="Century Gothic"/>
                <w:color w:val="000000"/>
                <w:sz w:val="20"/>
              </w:rPr>
            </w:pPr>
            <w:r w:rsidRPr="0099743C">
              <w:rPr>
                <w:rFonts w:ascii="Arial Narrow" w:eastAsia="Arial Narrow" w:hAnsi="Arial Narrow"/>
                <w:b/>
                <w:color w:val="000000"/>
                <w:sz w:val="20"/>
              </w:rPr>
              <w:t xml:space="preserve">Project Title: </w:t>
            </w:r>
            <w:r w:rsidR="00752F73" w:rsidRPr="00752F73">
              <w:rPr>
                <w:rFonts w:ascii="Arial Narrow" w:eastAsia="Arial Narrow" w:hAnsi="Arial Narrow"/>
                <w:b/>
                <w:color w:val="000000"/>
                <w:sz w:val="20"/>
                <w:lang w:bidi="en-US"/>
              </w:rPr>
              <w:t>Stakeholder Engagement for Uranium Legacy Remediation in Central Asia (Phase III)</w:t>
            </w:r>
            <w:r w:rsidRPr="0099743C">
              <w:rPr>
                <w:rFonts w:ascii="Arial Narrow" w:eastAsia="Arial Narrow" w:hAnsi="Arial Narrow"/>
                <w:b/>
                <w:color w:val="000000"/>
                <w:sz w:val="20"/>
              </w:rPr>
              <w:tab/>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1F1981" w14:textId="6226BDD3" w:rsidR="00DA349F" w:rsidRPr="0099743C" w:rsidRDefault="00AB44E9" w:rsidP="0099743C">
            <w:pPr>
              <w:pBdr>
                <w:top w:val="nil"/>
                <w:left w:val="nil"/>
                <w:bottom w:val="nil"/>
                <w:right w:val="nil"/>
                <w:between w:val="nil"/>
              </w:pBdr>
              <w:spacing w:before="60" w:after="60"/>
              <w:ind w:right="930"/>
              <w:jc w:val="both"/>
              <w:rPr>
                <w:rFonts w:ascii="Century Gothic" w:eastAsia="Century Gothic" w:hAnsi="Century Gothic"/>
                <w:color w:val="000000"/>
                <w:sz w:val="20"/>
              </w:rPr>
            </w:pPr>
            <w:r w:rsidRPr="0099743C">
              <w:rPr>
                <w:rFonts w:ascii="Arial Narrow" w:eastAsia="Arial Narrow" w:hAnsi="Arial Narrow"/>
                <w:b/>
                <w:color w:val="000000"/>
                <w:sz w:val="20"/>
              </w:rPr>
              <w:t>Project Number:</w:t>
            </w:r>
            <w:r w:rsidR="00752F73">
              <w:rPr>
                <w:rFonts w:ascii="Arial Narrow" w:eastAsia="Arial Narrow" w:hAnsi="Arial Narrow"/>
                <w:b/>
                <w:color w:val="000000"/>
                <w:sz w:val="20"/>
              </w:rPr>
              <w:t xml:space="preserve"> </w:t>
            </w:r>
            <w:r w:rsidR="00752F73" w:rsidRPr="00E32755">
              <w:rPr>
                <w:rFonts w:ascii="Arial Narrow" w:eastAsia="Arial Narrow" w:hAnsi="Arial Narrow"/>
                <w:b/>
                <w:color w:val="000000"/>
                <w:sz w:val="20"/>
              </w:rPr>
              <w:t>TBD</w:t>
            </w:r>
          </w:p>
        </w:tc>
        <w:tc>
          <w:tcPr>
            <w:tcW w:w="36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1F1982" w14:textId="57259C77" w:rsidR="00DA349F" w:rsidRPr="0099743C" w:rsidRDefault="00AB44E9" w:rsidP="0099743C">
            <w:pPr>
              <w:pBdr>
                <w:top w:val="nil"/>
                <w:left w:val="nil"/>
                <w:bottom w:val="nil"/>
                <w:right w:val="nil"/>
                <w:between w:val="nil"/>
              </w:pBdr>
              <w:spacing w:before="60" w:after="60"/>
              <w:jc w:val="both"/>
              <w:rPr>
                <w:rFonts w:ascii="Century Gothic" w:eastAsia="Century Gothic" w:hAnsi="Century Gothic"/>
                <w:color w:val="000000"/>
                <w:sz w:val="20"/>
              </w:rPr>
            </w:pPr>
            <w:r w:rsidRPr="0099743C">
              <w:rPr>
                <w:rFonts w:ascii="Arial Narrow" w:eastAsia="Arial Narrow" w:hAnsi="Arial Narrow"/>
                <w:b/>
                <w:color w:val="000000"/>
                <w:sz w:val="20"/>
              </w:rPr>
              <w:t xml:space="preserve">Date: </w:t>
            </w:r>
            <w:r w:rsidR="00E32755">
              <w:rPr>
                <w:rFonts w:ascii="Arial Narrow" w:eastAsia="Arial Narrow" w:hAnsi="Arial Narrow"/>
                <w:b/>
                <w:color w:val="000000"/>
                <w:sz w:val="20"/>
              </w:rPr>
              <w:t>Q3 2024</w:t>
            </w:r>
          </w:p>
        </w:tc>
      </w:tr>
    </w:tbl>
    <w:p w14:paraId="6C1F1985" w14:textId="77777777" w:rsidR="00DA349F" w:rsidRPr="0099743C" w:rsidRDefault="00AB44E9" w:rsidP="0099743C">
      <w:pPr>
        <w:pBdr>
          <w:top w:val="nil"/>
          <w:left w:val="nil"/>
          <w:bottom w:val="nil"/>
          <w:right w:val="nil"/>
          <w:between w:val="nil"/>
        </w:pBdr>
        <w:tabs>
          <w:tab w:val="left" w:pos="9041"/>
          <w:tab w:val="left" w:pos="10248"/>
        </w:tabs>
        <w:ind w:left="221"/>
        <w:rPr>
          <w:rFonts w:ascii="Arial Narrow" w:eastAsia="Arial Narrow" w:hAnsi="Arial Narrow"/>
          <w:b/>
          <w:color w:val="000000"/>
          <w:sz w:val="20"/>
        </w:rPr>
      </w:pPr>
      <w:r w:rsidRPr="0099743C">
        <w:rPr>
          <w:rFonts w:ascii="Arial Narrow" w:eastAsia="Arial Narrow" w:hAnsi="Arial Narrow"/>
          <w:b/>
          <w:color w:val="000000"/>
          <w:sz w:val="20"/>
        </w:rPr>
        <w:tab/>
      </w:r>
      <w:r w:rsidRPr="0099743C">
        <w:rPr>
          <w:rFonts w:ascii="Arial Narrow" w:eastAsia="Arial Narrow" w:hAnsi="Arial Narrow"/>
          <w:b/>
          <w:color w:val="000000"/>
          <w:sz w:val="20"/>
        </w:rPr>
        <w:tab/>
      </w:r>
    </w:p>
    <w:tbl>
      <w:tblPr>
        <w:tblW w:w="15840" w:type="dxa"/>
        <w:tblInd w:w="-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360"/>
        <w:gridCol w:w="2070"/>
        <w:gridCol w:w="2070"/>
        <w:gridCol w:w="2160"/>
        <w:gridCol w:w="1800"/>
        <w:gridCol w:w="1620"/>
        <w:gridCol w:w="1440"/>
        <w:gridCol w:w="720"/>
        <w:gridCol w:w="3600"/>
      </w:tblGrid>
      <w:tr w:rsidR="0099743C" w14:paraId="6C1F1992" w14:textId="77777777" w:rsidTr="004707EE">
        <w:trPr>
          <w:trHeight w:val="850"/>
          <w:tblHeader/>
        </w:trPr>
        <w:tc>
          <w:tcPr>
            <w:tcW w:w="360" w:type="dxa"/>
            <w:shd w:val="clear" w:color="auto" w:fill="FFCC00"/>
            <w:tcMar>
              <w:top w:w="80" w:type="dxa"/>
              <w:left w:w="80" w:type="dxa"/>
              <w:bottom w:w="80" w:type="dxa"/>
              <w:right w:w="80" w:type="dxa"/>
            </w:tcMar>
          </w:tcPr>
          <w:p w14:paraId="6C1F1986" w14:textId="77777777" w:rsidR="00DA349F" w:rsidRPr="0099743C" w:rsidRDefault="00AB44E9" w:rsidP="0099743C">
            <w:pPr>
              <w:pBdr>
                <w:top w:val="nil"/>
                <w:left w:val="nil"/>
                <w:bottom w:val="nil"/>
                <w:right w:val="nil"/>
                <w:between w:val="nil"/>
              </w:pBdr>
              <w:jc w:val="both"/>
              <w:rPr>
                <w:rFonts w:ascii="Century Gothic" w:eastAsia="Century Gothic" w:hAnsi="Century Gothic"/>
                <w:color w:val="000000"/>
                <w:sz w:val="20"/>
              </w:rPr>
            </w:pPr>
            <w:r w:rsidRPr="0099743C">
              <w:rPr>
                <w:rFonts w:ascii="Arial Narrow" w:eastAsia="Arial Narrow" w:hAnsi="Arial Narrow"/>
                <w:b/>
                <w:color w:val="000000"/>
                <w:sz w:val="20"/>
              </w:rPr>
              <w:t>#</w:t>
            </w:r>
          </w:p>
        </w:tc>
        <w:tc>
          <w:tcPr>
            <w:tcW w:w="2070" w:type="dxa"/>
            <w:shd w:val="clear" w:color="auto" w:fill="FFCC00"/>
            <w:tcMar>
              <w:top w:w="80" w:type="dxa"/>
              <w:left w:w="80" w:type="dxa"/>
              <w:bottom w:w="80" w:type="dxa"/>
              <w:right w:w="80" w:type="dxa"/>
            </w:tcMar>
          </w:tcPr>
          <w:p w14:paraId="6C1F1987" w14:textId="77777777" w:rsidR="00DA349F" w:rsidRPr="0099743C" w:rsidRDefault="00AB44E9" w:rsidP="0099743C">
            <w:pPr>
              <w:pBdr>
                <w:top w:val="nil"/>
                <w:left w:val="nil"/>
                <w:bottom w:val="nil"/>
                <w:right w:val="nil"/>
                <w:between w:val="nil"/>
              </w:pBdr>
              <w:jc w:val="center"/>
              <w:rPr>
                <w:rFonts w:ascii="Century Gothic" w:eastAsia="Century Gothic" w:hAnsi="Century Gothic"/>
                <w:color w:val="000000"/>
                <w:sz w:val="20"/>
              </w:rPr>
            </w:pPr>
            <w:r w:rsidRPr="0099743C">
              <w:rPr>
                <w:rFonts w:ascii="Arial Narrow" w:eastAsia="Arial Narrow" w:hAnsi="Arial Narrow"/>
                <w:b/>
                <w:color w:val="000000"/>
                <w:sz w:val="20"/>
              </w:rPr>
              <w:t>Event</w:t>
            </w:r>
          </w:p>
        </w:tc>
        <w:tc>
          <w:tcPr>
            <w:tcW w:w="2070" w:type="dxa"/>
            <w:shd w:val="clear" w:color="auto" w:fill="FFCC00"/>
            <w:tcMar>
              <w:top w:w="80" w:type="dxa"/>
              <w:left w:w="80" w:type="dxa"/>
              <w:bottom w:w="80" w:type="dxa"/>
              <w:right w:w="80" w:type="dxa"/>
            </w:tcMar>
          </w:tcPr>
          <w:p w14:paraId="6C1F1988" w14:textId="77777777" w:rsidR="00DA349F" w:rsidRPr="00DE650B" w:rsidRDefault="00AB44E9" w:rsidP="006837D5">
            <w:pPr>
              <w:pBdr>
                <w:top w:val="nil"/>
                <w:left w:val="nil"/>
                <w:bottom w:val="nil"/>
                <w:right w:val="nil"/>
                <w:between w:val="nil"/>
              </w:pBdr>
              <w:jc w:val="center"/>
              <w:rPr>
                <w:rFonts w:ascii="Arial Narrow" w:eastAsia="Arial Narrow" w:hAnsi="Arial Narrow" w:cs="Arial Narrow"/>
                <w:b/>
                <w:color w:val="000000"/>
                <w:sz w:val="20"/>
                <w:szCs w:val="20"/>
              </w:rPr>
            </w:pPr>
            <w:r w:rsidRPr="0099743C">
              <w:rPr>
                <w:rFonts w:ascii="Arial Narrow" w:eastAsia="Arial Narrow" w:hAnsi="Arial Narrow"/>
                <w:b/>
                <w:color w:val="000000"/>
                <w:sz w:val="20"/>
              </w:rPr>
              <w:t>Cause</w:t>
            </w:r>
          </w:p>
          <w:p w14:paraId="6C1F1989" w14:textId="321161FA" w:rsidR="00DA349F" w:rsidRPr="0099743C" w:rsidRDefault="00DA349F" w:rsidP="0099743C">
            <w:pPr>
              <w:pBdr>
                <w:top w:val="nil"/>
                <w:left w:val="nil"/>
                <w:bottom w:val="nil"/>
                <w:right w:val="nil"/>
                <w:between w:val="nil"/>
              </w:pBdr>
              <w:jc w:val="center"/>
              <w:rPr>
                <w:rFonts w:ascii="Arial Narrow" w:eastAsia="Arial Narrow" w:hAnsi="Arial Narrow"/>
                <w:b/>
                <w:sz w:val="20"/>
              </w:rPr>
            </w:pPr>
          </w:p>
        </w:tc>
        <w:tc>
          <w:tcPr>
            <w:tcW w:w="2160" w:type="dxa"/>
            <w:shd w:val="clear" w:color="auto" w:fill="FFCC00"/>
            <w:tcMar>
              <w:top w:w="80" w:type="dxa"/>
              <w:left w:w="80" w:type="dxa"/>
              <w:bottom w:w="80" w:type="dxa"/>
              <w:right w:w="80" w:type="dxa"/>
            </w:tcMar>
          </w:tcPr>
          <w:p w14:paraId="6C1F198A" w14:textId="77777777" w:rsidR="00DA349F" w:rsidRPr="0099743C" w:rsidRDefault="00AB44E9" w:rsidP="0099743C">
            <w:pPr>
              <w:pBdr>
                <w:top w:val="nil"/>
                <w:left w:val="nil"/>
                <w:bottom w:val="nil"/>
                <w:right w:val="nil"/>
                <w:between w:val="nil"/>
              </w:pBdr>
              <w:jc w:val="center"/>
              <w:rPr>
                <w:rFonts w:ascii="Century Gothic" w:eastAsia="Century Gothic" w:hAnsi="Century Gothic"/>
                <w:color w:val="000000"/>
                <w:sz w:val="20"/>
              </w:rPr>
            </w:pPr>
            <w:r w:rsidRPr="0099743C">
              <w:rPr>
                <w:rFonts w:ascii="Arial Narrow" w:eastAsia="Arial Narrow" w:hAnsi="Arial Narrow"/>
                <w:b/>
                <w:color w:val="000000"/>
                <w:sz w:val="20"/>
              </w:rPr>
              <w:t>Impact(s)</w:t>
            </w:r>
          </w:p>
        </w:tc>
        <w:tc>
          <w:tcPr>
            <w:tcW w:w="1800" w:type="dxa"/>
            <w:shd w:val="clear" w:color="auto" w:fill="FFCC00"/>
            <w:tcMar>
              <w:top w:w="80" w:type="dxa"/>
              <w:left w:w="80" w:type="dxa"/>
              <w:bottom w:w="80" w:type="dxa"/>
              <w:right w:w="80" w:type="dxa"/>
            </w:tcMar>
          </w:tcPr>
          <w:p w14:paraId="6C1F198B" w14:textId="77777777" w:rsidR="00DA349F" w:rsidRPr="0099743C" w:rsidRDefault="00AB44E9" w:rsidP="0099743C">
            <w:pPr>
              <w:pBdr>
                <w:top w:val="nil"/>
                <w:left w:val="nil"/>
                <w:bottom w:val="nil"/>
                <w:right w:val="nil"/>
                <w:between w:val="nil"/>
              </w:pBdr>
              <w:jc w:val="center"/>
              <w:rPr>
                <w:rFonts w:ascii="Century Gothic" w:eastAsia="Century Gothic" w:hAnsi="Century Gothic"/>
                <w:color w:val="000000"/>
                <w:sz w:val="20"/>
              </w:rPr>
            </w:pPr>
            <w:r w:rsidRPr="0099743C">
              <w:rPr>
                <w:rFonts w:ascii="Arial Narrow" w:eastAsia="Arial Narrow" w:hAnsi="Arial Narrow"/>
                <w:b/>
                <w:color w:val="000000"/>
                <w:sz w:val="20"/>
              </w:rPr>
              <w:t xml:space="preserve">Risk Category and Sub-category            </w:t>
            </w:r>
            <w:r w:rsidRPr="0099743C">
              <w:rPr>
                <w:rFonts w:ascii="Arial Narrow" w:eastAsia="Arial Narrow" w:hAnsi="Arial Narrow"/>
                <w:i/>
                <w:color w:val="000000"/>
                <w:sz w:val="16"/>
              </w:rPr>
              <w:t xml:space="preserve">(including Risk Appetite) </w:t>
            </w:r>
          </w:p>
        </w:tc>
        <w:tc>
          <w:tcPr>
            <w:tcW w:w="1620" w:type="dxa"/>
            <w:shd w:val="clear" w:color="auto" w:fill="FFCC00"/>
            <w:tcMar>
              <w:top w:w="80" w:type="dxa"/>
              <w:left w:w="80" w:type="dxa"/>
              <w:bottom w:w="80" w:type="dxa"/>
              <w:right w:w="80" w:type="dxa"/>
            </w:tcMar>
          </w:tcPr>
          <w:p w14:paraId="6C1F198C" w14:textId="5362D65E" w:rsidR="00DA349F" w:rsidRPr="0099743C" w:rsidRDefault="00AB44E9" w:rsidP="7679E0EC">
            <w:pPr>
              <w:pBdr>
                <w:top w:val="nil"/>
                <w:left w:val="nil"/>
                <w:bottom w:val="nil"/>
                <w:right w:val="nil"/>
                <w:between w:val="nil"/>
              </w:pBdr>
              <w:jc w:val="center"/>
              <w:rPr>
                <w:rFonts w:ascii="Arial Narrow" w:eastAsia="Arial Narrow" w:hAnsi="Arial Narrow"/>
                <w:b/>
                <w:bCs/>
                <w:color w:val="000000"/>
                <w:sz w:val="20"/>
                <w:szCs w:val="20"/>
              </w:rPr>
            </w:pPr>
            <w:r w:rsidRPr="7679E0EC">
              <w:rPr>
                <w:rFonts w:ascii="Arial Narrow" w:eastAsia="Arial Narrow" w:hAnsi="Arial Narrow"/>
                <w:b/>
                <w:bCs/>
                <w:color w:val="000000" w:themeColor="text1"/>
                <w:sz w:val="20"/>
                <w:szCs w:val="20"/>
              </w:rPr>
              <w:t xml:space="preserve">Impact, </w:t>
            </w:r>
            <w:r w:rsidR="4ACECA31" w:rsidRPr="7679E0EC">
              <w:rPr>
                <w:rFonts w:ascii="Arial Narrow" w:eastAsia="Arial Narrow" w:hAnsi="Arial Narrow"/>
                <w:b/>
                <w:bCs/>
                <w:color w:val="000000" w:themeColor="text1"/>
                <w:sz w:val="20"/>
                <w:szCs w:val="20"/>
              </w:rPr>
              <w:t>Likelihood &amp;</w:t>
            </w:r>
            <w:r w:rsidRPr="7679E0EC">
              <w:rPr>
                <w:rFonts w:ascii="Arial Narrow" w:eastAsia="Arial Narrow" w:hAnsi="Arial Narrow"/>
                <w:b/>
                <w:bCs/>
                <w:color w:val="000000" w:themeColor="text1"/>
                <w:sz w:val="20"/>
                <w:szCs w:val="20"/>
              </w:rPr>
              <w:t xml:space="preserve"> Risk Level</w:t>
            </w:r>
          </w:p>
          <w:p w14:paraId="6C1F198D" w14:textId="77777777" w:rsidR="00DA349F" w:rsidRPr="0099743C" w:rsidRDefault="00AB44E9" w:rsidP="0099743C">
            <w:pPr>
              <w:pBdr>
                <w:top w:val="nil"/>
                <w:left w:val="nil"/>
                <w:bottom w:val="nil"/>
                <w:right w:val="nil"/>
                <w:between w:val="nil"/>
              </w:pBdr>
              <w:jc w:val="center"/>
              <w:rPr>
                <w:rFonts w:ascii="Century Gothic" w:eastAsia="Century Gothic" w:hAnsi="Century Gothic"/>
                <w:color w:val="000000"/>
                <w:sz w:val="20"/>
              </w:rPr>
            </w:pPr>
            <w:r w:rsidRPr="0099743C">
              <w:rPr>
                <w:rFonts w:ascii="Arial Narrow" w:eastAsia="Arial Narrow" w:hAnsi="Arial Narrow"/>
                <w:i/>
                <w:color w:val="000000"/>
                <w:sz w:val="16"/>
              </w:rPr>
              <w:t>(see Annex 3 Risk Matrix)</w:t>
            </w:r>
          </w:p>
        </w:tc>
        <w:tc>
          <w:tcPr>
            <w:tcW w:w="1440" w:type="dxa"/>
            <w:shd w:val="clear" w:color="auto" w:fill="FFCC00"/>
            <w:tcMar>
              <w:top w:w="80" w:type="dxa"/>
              <w:left w:w="80" w:type="dxa"/>
              <w:bottom w:w="80" w:type="dxa"/>
              <w:right w:w="80" w:type="dxa"/>
            </w:tcMar>
          </w:tcPr>
          <w:p w14:paraId="6C1F198E" w14:textId="77777777" w:rsidR="00DA349F" w:rsidRPr="0099743C" w:rsidRDefault="00AB44E9" w:rsidP="0099743C">
            <w:pPr>
              <w:pBdr>
                <w:top w:val="nil"/>
                <w:left w:val="nil"/>
                <w:bottom w:val="nil"/>
                <w:right w:val="nil"/>
                <w:between w:val="nil"/>
              </w:pBdr>
              <w:jc w:val="center"/>
              <w:rPr>
                <w:rFonts w:ascii="Century Gothic" w:eastAsia="Century Gothic" w:hAnsi="Century Gothic"/>
                <w:color w:val="000000"/>
                <w:sz w:val="20"/>
              </w:rPr>
            </w:pPr>
            <w:r w:rsidRPr="0099743C">
              <w:rPr>
                <w:rFonts w:ascii="Arial Narrow" w:eastAsia="Arial Narrow" w:hAnsi="Arial Narrow"/>
                <w:b/>
                <w:color w:val="000000"/>
                <w:sz w:val="20"/>
              </w:rPr>
              <w:t>Risk Valid From/To</w:t>
            </w:r>
          </w:p>
        </w:tc>
        <w:tc>
          <w:tcPr>
            <w:tcW w:w="720" w:type="dxa"/>
            <w:shd w:val="clear" w:color="auto" w:fill="FFCC00"/>
            <w:tcMar>
              <w:top w:w="80" w:type="dxa"/>
              <w:left w:w="80" w:type="dxa"/>
              <w:bottom w:w="80" w:type="dxa"/>
              <w:right w:w="80" w:type="dxa"/>
            </w:tcMar>
          </w:tcPr>
          <w:p w14:paraId="6C1F198F" w14:textId="77777777" w:rsidR="00DA349F" w:rsidRPr="0099743C" w:rsidRDefault="00AB44E9" w:rsidP="0099743C">
            <w:pPr>
              <w:pBdr>
                <w:top w:val="nil"/>
                <w:left w:val="nil"/>
                <w:bottom w:val="nil"/>
                <w:right w:val="nil"/>
                <w:between w:val="nil"/>
              </w:pBdr>
              <w:jc w:val="center"/>
              <w:rPr>
                <w:rFonts w:ascii="Arial Narrow" w:eastAsia="Arial Narrow" w:hAnsi="Arial Narrow"/>
                <w:b/>
                <w:color w:val="000000"/>
                <w:sz w:val="20"/>
              </w:rPr>
            </w:pPr>
            <w:r w:rsidRPr="0099743C">
              <w:rPr>
                <w:rFonts w:ascii="Arial Narrow" w:eastAsia="Arial Narrow" w:hAnsi="Arial Narrow"/>
                <w:b/>
                <w:color w:val="000000"/>
                <w:sz w:val="20"/>
              </w:rPr>
              <w:t>Risk Owner</w:t>
            </w:r>
          </w:p>
          <w:p w14:paraId="6C1F1990" w14:textId="163566A4" w:rsidR="00DA349F" w:rsidRPr="0099743C" w:rsidRDefault="00DA349F" w:rsidP="0099743C">
            <w:pPr>
              <w:pBdr>
                <w:top w:val="nil"/>
                <w:left w:val="nil"/>
                <w:bottom w:val="nil"/>
                <w:right w:val="nil"/>
                <w:between w:val="nil"/>
              </w:pBdr>
              <w:jc w:val="center"/>
              <w:rPr>
                <w:rFonts w:ascii="Century Gothic" w:eastAsia="Century Gothic" w:hAnsi="Century Gothic"/>
                <w:color w:val="000000"/>
                <w:sz w:val="20"/>
              </w:rPr>
            </w:pPr>
          </w:p>
        </w:tc>
        <w:tc>
          <w:tcPr>
            <w:tcW w:w="3600" w:type="dxa"/>
            <w:shd w:val="clear" w:color="auto" w:fill="FFCC00"/>
            <w:tcMar>
              <w:top w:w="80" w:type="dxa"/>
              <w:left w:w="80" w:type="dxa"/>
              <w:bottom w:w="80" w:type="dxa"/>
              <w:right w:w="80" w:type="dxa"/>
            </w:tcMar>
          </w:tcPr>
          <w:p w14:paraId="6C1F1991" w14:textId="77777777" w:rsidR="00DA349F" w:rsidRPr="0099743C" w:rsidRDefault="00AB44E9" w:rsidP="0099743C">
            <w:pPr>
              <w:pBdr>
                <w:top w:val="nil"/>
                <w:left w:val="nil"/>
                <w:bottom w:val="nil"/>
                <w:right w:val="nil"/>
                <w:between w:val="nil"/>
              </w:pBdr>
              <w:jc w:val="center"/>
              <w:rPr>
                <w:rFonts w:ascii="Century Gothic" w:eastAsia="Century Gothic" w:hAnsi="Century Gothic"/>
                <w:color w:val="000000"/>
                <w:sz w:val="20"/>
              </w:rPr>
            </w:pPr>
            <w:r w:rsidRPr="0099743C">
              <w:rPr>
                <w:rFonts w:ascii="Arial Narrow" w:eastAsia="Arial Narrow" w:hAnsi="Arial Narrow"/>
                <w:b/>
                <w:color w:val="000000"/>
                <w:sz w:val="20"/>
              </w:rPr>
              <w:t>Risk Treatment and Treatment Owner</w:t>
            </w:r>
          </w:p>
        </w:tc>
      </w:tr>
      <w:tr w:rsidR="00027260" w14:paraId="6C1F19D6" w14:textId="77777777" w:rsidTr="004707EE">
        <w:trPr>
          <w:trHeight w:val="189"/>
        </w:trPr>
        <w:tc>
          <w:tcPr>
            <w:tcW w:w="360" w:type="dxa"/>
            <w:vMerge w:val="restart"/>
            <w:shd w:val="clear" w:color="auto" w:fill="auto"/>
            <w:tcMar>
              <w:top w:w="80" w:type="dxa"/>
              <w:left w:w="80" w:type="dxa"/>
              <w:bottom w:w="80" w:type="dxa"/>
              <w:right w:w="80" w:type="dxa"/>
            </w:tcMar>
          </w:tcPr>
          <w:p w14:paraId="6C1F19C1" w14:textId="72065E22" w:rsidR="00027260" w:rsidRPr="0099743C" w:rsidRDefault="00027260" w:rsidP="0099743C">
            <w:pPr>
              <w:pBdr>
                <w:top w:val="nil"/>
                <w:left w:val="nil"/>
                <w:bottom w:val="nil"/>
                <w:right w:val="nil"/>
                <w:between w:val="nil"/>
              </w:pBdr>
              <w:jc w:val="both"/>
              <w:rPr>
                <w:rFonts w:ascii="Century Gothic" w:eastAsia="Century Gothic" w:hAnsi="Century Gothic"/>
                <w:color w:val="000000"/>
                <w:sz w:val="18"/>
              </w:rPr>
            </w:pPr>
            <w:r>
              <w:rPr>
                <w:rFonts w:ascii="Arial Narrow" w:eastAsia="Arial Narrow" w:hAnsi="Arial Narrow"/>
                <w:color w:val="000000"/>
                <w:sz w:val="18"/>
              </w:rPr>
              <w:t>1</w:t>
            </w:r>
          </w:p>
        </w:tc>
        <w:tc>
          <w:tcPr>
            <w:tcW w:w="2070" w:type="dxa"/>
            <w:vMerge w:val="restart"/>
            <w:shd w:val="clear" w:color="auto" w:fill="auto"/>
            <w:tcMar>
              <w:top w:w="80" w:type="dxa"/>
              <w:left w:w="80" w:type="dxa"/>
              <w:bottom w:w="80" w:type="dxa"/>
              <w:right w:w="80" w:type="dxa"/>
            </w:tcMar>
          </w:tcPr>
          <w:p w14:paraId="6C1F19C2" w14:textId="1493F809" w:rsidR="00027260" w:rsidRPr="0099743C" w:rsidRDefault="00027260" w:rsidP="0099743C">
            <w:pPr>
              <w:pBdr>
                <w:top w:val="nil"/>
                <w:left w:val="nil"/>
                <w:bottom w:val="nil"/>
                <w:right w:val="nil"/>
                <w:between w:val="nil"/>
              </w:pBdr>
              <w:jc w:val="both"/>
              <w:rPr>
                <w:rFonts w:ascii="Century Gothic" w:eastAsia="Century Gothic" w:hAnsi="Century Gothic"/>
                <w:color w:val="000000"/>
                <w:sz w:val="18"/>
              </w:rPr>
            </w:pPr>
            <w:r w:rsidRPr="0099743C">
              <w:rPr>
                <w:rFonts w:ascii="Arial Narrow" w:eastAsia="Arial Narrow" w:hAnsi="Arial Narrow"/>
                <w:color w:val="000000"/>
                <w:sz w:val="18"/>
              </w:rPr>
              <w:t xml:space="preserve">There is a risk that </w:t>
            </w:r>
            <w:r>
              <w:rPr>
                <w:rFonts w:ascii="Arial Narrow" w:eastAsia="Arial Narrow" w:hAnsi="Arial Narrow"/>
                <w:color w:val="000000"/>
                <w:sz w:val="18"/>
              </w:rPr>
              <w:t xml:space="preserve">the </w:t>
            </w:r>
            <w:r w:rsidRPr="00752F73">
              <w:rPr>
                <w:rFonts w:ascii="Arial Narrow" w:eastAsia="Arial Narrow" w:hAnsi="Arial Narrow"/>
                <w:color w:val="000000"/>
                <w:sz w:val="18"/>
                <w:lang w:val="en-GB"/>
              </w:rPr>
              <w:t>social impact</w:t>
            </w:r>
            <w:r>
              <w:rPr>
                <w:rFonts w:ascii="Arial Narrow" w:eastAsia="Arial Narrow" w:hAnsi="Arial Narrow"/>
                <w:color w:val="000000"/>
                <w:sz w:val="18"/>
                <w:lang w:val="en-GB"/>
              </w:rPr>
              <w:t xml:space="preserve"> and benefits of the project might be reduced or diminished due to political instabilities.</w:t>
            </w:r>
            <w:r w:rsidRPr="00752F73">
              <w:rPr>
                <w:rFonts w:ascii="Arial Narrow" w:eastAsia="Arial Narrow" w:hAnsi="Arial Narrow"/>
                <w:color w:val="000000"/>
                <w:sz w:val="18"/>
                <w:lang w:val="en-GB"/>
              </w:rPr>
              <w:t xml:space="preserve"> </w:t>
            </w:r>
          </w:p>
        </w:tc>
        <w:tc>
          <w:tcPr>
            <w:tcW w:w="2070" w:type="dxa"/>
            <w:vMerge w:val="restart"/>
            <w:shd w:val="clear" w:color="auto" w:fill="auto"/>
            <w:tcMar>
              <w:top w:w="80" w:type="dxa"/>
              <w:left w:w="80" w:type="dxa"/>
              <w:bottom w:w="80" w:type="dxa"/>
              <w:right w:w="80" w:type="dxa"/>
            </w:tcMar>
          </w:tcPr>
          <w:p w14:paraId="6C1F19C3" w14:textId="7047F771" w:rsidR="00027260" w:rsidRPr="0099743C" w:rsidRDefault="00027260" w:rsidP="0099743C">
            <w:pPr>
              <w:pBdr>
                <w:top w:val="nil"/>
                <w:left w:val="nil"/>
                <w:bottom w:val="nil"/>
                <w:right w:val="nil"/>
                <w:between w:val="nil"/>
              </w:pBdr>
              <w:jc w:val="both"/>
              <w:rPr>
                <w:rFonts w:ascii="Century Gothic" w:eastAsia="Century Gothic" w:hAnsi="Century Gothic"/>
                <w:color w:val="000000"/>
                <w:sz w:val="18"/>
              </w:rPr>
            </w:pPr>
            <w:r w:rsidRPr="005F080E">
              <w:rPr>
                <w:rFonts w:ascii="Arial Narrow" w:eastAsia="Arial Narrow" w:hAnsi="Arial Narrow"/>
                <w:color w:val="000000"/>
                <w:sz w:val="18"/>
                <w:lang w:val="en-GB"/>
              </w:rPr>
              <w:t xml:space="preserve">As a result of exclusion of any potentially affected stakeholders/ social groups </w:t>
            </w:r>
            <w:r w:rsidRPr="00752F73">
              <w:rPr>
                <w:rFonts w:ascii="Arial Narrow" w:eastAsia="Arial Narrow" w:hAnsi="Arial Narrow"/>
                <w:color w:val="000000"/>
                <w:sz w:val="18"/>
                <w:lang w:val="en-GB"/>
              </w:rPr>
              <w:t>from fully participating in decision making</w:t>
            </w:r>
            <w:r>
              <w:rPr>
                <w:rFonts w:ascii="Arial Narrow" w:eastAsia="Arial Narrow" w:hAnsi="Arial Narrow"/>
                <w:color w:val="000000"/>
                <w:sz w:val="18"/>
                <w:lang w:val="en-GB"/>
              </w:rPr>
              <w:t xml:space="preserve"> </w:t>
            </w:r>
            <w:r w:rsidRPr="005F080E">
              <w:rPr>
                <w:rFonts w:ascii="Arial Narrow" w:eastAsia="Arial Narrow" w:hAnsi="Arial Narrow"/>
                <w:color w:val="000000"/>
                <w:sz w:val="18"/>
                <w:lang w:val="en-GB"/>
              </w:rPr>
              <w:t>due to any unforeseen political instability/conflict across the region, communities, or cross border areas</w:t>
            </w:r>
            <w:r>
              <w:rPr>
                <w:rFonts w:ascii="Arial Narrow" w:eastAsia="Arial Narrow" w:hAnsi="Arial Narrow"/>
                <w:color w:val="000000"/>
                <w:sz w:val="18"/>
                <w:lang w:val="en-GB"/>
              </w:rPr>
              <w:t>.</w:t>
            </w:r>
          </w:p>
        </w:tc>
        <w:tc>
          <w:tcPr>
            <w:tcW w:w="2160" w:type="dxa"/>
            <w:vMerge w:val="restart"/>
            <w:shd w:val="clear" w:color="auto" w:fill="auto"/>
            <w:tcMar>
              <w:top w:w="80" w:type="dxa"/>
              <w:left w:w="80" w:type="dxa"/>
              <w:bottom w:w="80" w:type="dxa"/>
              <w:right w:w="80" w:type="dxa"/>
            </w:tcMar>
          </w:tcPr>
          <w:p w14:paraId="6C1F19C4" w14:textId="13ECA4C9" w:rsidR="00027260" w:rsidRPr="0099743C" w:rsidRDefault="00027260" w:rsidP="0099743C">
            <w:pPr>
              <w:pBdr>
                <w:top w:val="nil"/>
                <w:left w:val="nil"/>
                <w:bottom w:val="nil"/>
                <w:right w:val="nil"/>
                <w:between w:val="nil"/>
              </w:pBdr>
              <w:jc w:val="both"/>
              <w:rPr>
                <w:rFonts w:ascii="Century Gothic" w:eastAsia="Century Gothic" w:hAnsi="Century Gothic"/>
                <w:color w:val="000000"/>
                <w:sz w:val="18"/>
              </w:rPr>
            </w:pPr>
            <w:r w:rsidRPr="0099743C">
              <w:rPr>
                <w:rFonts w:ascii="Arial Narrow" w:eastAsia="Arial Narrow" w:hAnsi="Arial Narrow"/>
                <w:color w:val="000000"/>
                <w:sz w:val="18"/>
              </w:rPr>
              <w:t xml:space="preserve">Which will impact </w:t>
            </w:r>
            <w:r>
              <w:rPr>
                <w:rFonts w:ascii="Arial Narrow" w:eastAsia="Arial Narrow" w:hAnsi="Arial Narrow"/>
                <w:color w:val="000000"/>
                <w:sz w:val="18"/>
              </w:rPr>
              <w:t>social sustainability of planned project interventions.</w:t>
            </w:r>
          </w:p>
        </w:tc>
        <w:tc>
          <w:tcPr>
            <w:tcW w:w="1800" w:type="dxa"/>
            <w:vMerge w:val="restart"/>
            <w:shd w:val="clear" w:color="auto" w:fill="auto"/>
            <w:tcMar>
              <w:top w:w="80" w:type="dxa"/>
              <w:left w:w="80" w:type="dxa"/>
              <w:bottom w:w="80" w:type="dxa"/>
              <w:right w:w="80" w:type="dxa"/>
            </w:tcMar>
          </w:tcPr>
          <w:sdt>
            <w:sdtPr>
              <w:rPr>
                <w:rFonts w:ascii="Arial Narrow" w:hAnsi="Arial Narrow"/>
                <w:b/>
                <w:bCs/>
                <w:sz w:val="20"/>
                <w:szCs w:val="20"/>
                <w:highlight w:val="lightGray"/>
              </w:rPr>
              <w:alias w:val="Select Risk Categories and Sub-categories"/>
              <w:tag w:val="Select Risk Categories and Sub-categories"/>
              <w:id w:val="1335879261"/>
              <w:placeholder>
                <w:docPart w:val="989AA53A44D84C27800F84ABC4A2A841"/>
              </w:placeholder>
              <w:dropDownList>
                <w:listItem w:displayText="PLEASE SELECT" w:value="PLEASE SELECT"/>
                <w:listItem w:displayText="1. SOCIAL AND ENVIRONMENTAL (1.1. Human rights) - UNDP Risk Appetite: CAUTIOUS" w:value="1. SOCIAL AND ENVIRONMENTAL (1.1. Human rights) - UNDP Risk Appetite: CAUTIOUS"/>
                <w:listItem w:displayText="1. SOCIAL AND ENVIRONMENTAL (1.2. Gender equality and women’s empowerment) - UNDP Risk Appetite: CAUTIOUS" w:value="1. SOCIAL AND ENVIRONMENTAL (1.2. Gender equality and women’s empowerment) - UNDP Risk Appetite: CAUTIOUS"/>
                <w:listItem w:displayText="1. SOCIAL AND ENVIRONMENTAL (1.3. Grievances (Accountability to stakeholders)) - UNDP Risk Appetite: CAUTIOUS" w:value="1. SOCIAL AND ENVIRONMENTAL (1.3. Grievances (Accountability to stakeholders)) - UNDP Risk Appetite: CAUTIOUS"/>
                <w:listItem w:displayText="1. SOCIAL AND ENVIRONMENTAL (1.4. Biodiversity conservation and sustainable natural resource management) - UNDP Risk Appetite: CAUTIOUS" w:value="1. SOCIAL AND ENVIRONMENTAL (1.4. Biodiversity conservation and sustainable natural resource management) - UNDP Risk Appetite: CAUTIOUS"/>
                <w:listItem w:displayText="1. SOCIAL AND ENVIRONMENTAL (1.5. Climate change and disaster risks) - UNDP Risk Appetite: CAUTIOUS" w:value="1. SOCIAL AND ENVIRONMENTAL (1.5. Climate change and disaster risks) - UNDP Risk Appetite: CAUTIOUS"/>
                <w:listItem w:displayText="1. SOCIAL AND ENVIRONMENTAL (1.6. Community health, safety and security) - UNDP Risk Appetite: CAUTIOUS" w:value="1. SOCIAL AND ENVIRONMENTAL (1.6. Community health, safety and security) - UNDP Risk Appetite: CAUTIOUS"/>
                <w:listItem w:displayText="1. SOCIAL AND ENVIRONMENTAL (1.7. Cultural heritage) - UNDP Risk Appetite: CAUTIOUS" w:value="1. SOCIAL AND ENVIRONMENTAL (1.7. Cultural heritage) - UNDP Risk Appetite: CAUTIOUS"/>
                <w:listItem w:displayText="1. SOCIAL AND ENVIRONMENTAL (1.8. Displacement and resettlement) - UNDP Risk Appetite: CAUTIOUS" w:value="1. SOCIAL AND ENVIRONMENTAL (1.8. Displacement and resettlement) - UNDP Risk Appetite: CAUTIOUS"/>
                <w:listItem w:displayText="1. SOCIAL AND ENVIRONMENTAL (1.9. Indigenous peoples) - UNDP Risk Appetite: CAUTIOUS" w:value="1. SOCIAL AND ENVIRONMENTAL (1.9. Indigenous peoples) - UNDP Risk Appetite: CAUTIOUS"/>
                <w:listItem w:displayText="1. SOCIAL AND ENVIRONMENTAL (1.10. Labour and working conditions) - UNDP Risk Appetite: CAUTIOUS" w:value="1. SOCIAL AND ENVIRONMENTAL (1.10. Labour and working conditions) - UNDP Risk Appetite: CAUTIOUS"/>
                <w:listItem w:displayText="1. SOCIAL AND ENVIRONMENTAL (1.11. Pollution prevention and resource efficiency) - UNDP Risk Appetite: CAUTIOUS" w:value="1. SOCIAL AND ENVIRONMENTAL (1.11. Pollution prevention and resource efficiency) - UNDP Risk Appetite: CAUTIOUS"/>
                <w:listItem w:displayText="1. SOCIAL AND ENVIRONMENTAL (1.12. Stakeholder engagement) - UNDP Risk Appetite: CAUTIOUS" w:value="1. SOCIAL AND ENVIRONMENTAL (1.12. Stakeholder engagement) - UNDP Risk Appetite: CAUTIOUS"/>
                <w:listItem w:displayText="1. SOCIAL AND ENVIRONMENTAL (1.13. Sexual exploitation and abuse) - UNDP Risk Appetite: CAUTIOUS" w:value="1. SOCIAL AND ENVIRONMENTAL (1.13. Sexual exploitation and abuse) - UNDP Risk Appetite: CAUTIOUS"/>
                <w:listItem w:displayText="2. FINANCIAL (2.1. Cost recovery) - UNDP Risk Appetite: MINIMAL TO CAUTIOUS" w:value="2. FINANCIAL (2.1. Cost recovery) - UNDP Risk Appetite: MINIMAL TO CAUTIOUS"/>
                <w:listItem w:displayText="2. FINANCIAL (2.2. Value for money) - UNDP Risk Appetite: MINIMAL TO CAUTIOUS" w:value="2. FINANCIAL (2.2. Value for money) - UNDP Risk Appetite: MINIMAL TO CAUTIOUS"/>
                <w:listItem w:displayText="2. FINANCIAL (2.3. Corruption and fraud) - UNDP Risk Appetite: MINIMAL TO CAUTIOUS" w:value="2. FINANCIAL (2.3. Corruption and fraud) - UNDP Risk Appetite: MINIMAL TO CAUTIOUS"/>
                <w:listItem w:displayText="2. FINANCIAL (2.4. Fluctuation in credit rate, market, currency) - UNDP Risk Appetite: MINIMAL TO CAUTIOUS" w:value="2. FINANCIAL (2.4. Fluctuation in credit rate, market, currency) - UNDP Risk Appetite: MINIMAL TO CAUTIOUS"/>
                <w:listItem w:displayText="2. FINANCIAL (2.5. Delivery) - UNDP Risk Appetite: MINIMAL TO CAUTIOUS" w:value="2. FINANCIAL (2.5. Delivery) - UNDP Risk Appetite: MINIMAL TO CAUTIOUS"/>
                <w:listItem w:displayText="2. FINANCIAL (2.6. Budget availability and cash flow) - UNDP Risk Appetite: MINIMAL TO CAUTIOUS" w:value="2. FINANCIAL (2.6. Budget availability and cash flow) - UNDP Risk Appetite: MINIMAL TO CAUTIOUS"/>
                <w:listItem w:displayText="3. OPERATIONAL (3.1. Responsiveness to audit and evaluations (Delays in the conduct of and implementation of recommendations)) - UNDP Risk Appetite: EXPLORATORY TO OPEN" w:value="3. OPERATIONAL (3.1. Responsiveness to audit and evaluations (Delays in the conduct of and implementation of recommendations)) - UNDP Risk Appetite: EXPLORATORY TO OPEN"/>
                <w:listItem w:displayText="3. OPERATIONAL (3.2. Leadership and management) - UNDP Risk Appetite: EXPLORATORY TO OPEN" w:value="3. OPERATIONAL (3.2. Leadership and management) - UNDP Risk Appetite: EXPLORATORY TO OPEN"/>
                <w:listItem w:displayText="3. OPERATIONAL (3.3. Flexibility and opportunity management) - UNDP Risk Appetite: EXPLORATORY TO OPEN" w:value="3. OPERATIONAL (3.3. Flexibility and opportunity management) - UNDP Risk Appetite: EXPLORATORY TO OPEN"/>
                <w:listItem w:displayText="3. OPERATIONAL (3.4. Reporting and communication) - UNDP Risk Appetite: EXPLORATORY TO OPEN" w:value="3. OPERATIONAL (3.4. Reporting and communication) - UNDP Risk Appetite: EXPLORATORY TO OPEN"/>
                <w:listItem w:displayText="3. OPERATIONAL (3.5. Partners’ engagement) - UNDP Risk Appetite: EXPLORATORY TO OPEN" w:value="3. OPERATIONAL (3.5. Partners’ engagement) - UNDP Risk Appetite: EXPLORATORY TO OPEN"/>
                <w:listItem w:displayText="3. OPERATIONAL (3.6. Transition and exit strategy) - UNDP Risk Appetite: EXPLORATORY TO OPEN" w:value="3. OPERATIONAL (3.6. Transition and exit strategy) - UNDP Risk Appetite: EXPLORATORY TO OPEN"/>
                <w:listItem w:displayText="3. OPERATIONAL (3.7. Occupational safety, health and well-being) - UNDP Risk Appetite: EXPLORATORY TO OPEN" w:value="3. OPERATIONAL (3.7. Occupational safety, health and well-being) - UNDP Risk Appetite: EXPLORATORY TO OPEN"/>
                <w:listItem w:displayText="3. OPERATIONAL (3.8. Capacities of the partners) - UNDP Risk Appetite: EXPLORATORY TO OPEN" w:value="3. OPERATIONAL (3.8. Capacities of the partners) - UNDP Risk Appetite: EXPLORATORY TO OPEN"/>
                <w:listItem w:displayText="4. ORGANIZATIONAL (4.1. Governance) - UNDP Risk Appetite: EXPLORATORY TO OPEN" w:value="4. ORGANIZATIONAL (4.1. Governance) - UNDP Risk Appetite: EXPLORATORY TO OPEN"/>
                <w:listItem w:displayText="4. ORGANIZATIONAL (4.2. Execution capacity) - UNDP Risk Appetite: EXPLORATORY TO OPEN" w:value="4. ORGANIZATIONAL (4.2. Execution capacity) - UNDP Risk Appetite: EXPLORATORY TO OPEN"/>
                <w:listItem w:displayText="4. ORGANIZATIONAL (4.3. Implementation arrangements) - UNDP Risk Appetite: EXPLORATORY TO OPEN" w:value="4. ORGANIZATIONAL (4.3. Implementation arrangements) - UNDP Risk Appetite: EXPLORATORY TO OPEN"/>
                <w:listItem w:displayText="4. ORGANIZATIONAL (4.4. Accountability) - UNDP Risk Appetite: EXPLORATORY TO OPEN" w:value="4. ORGANIZATIONAL (4.4. Accountability) - UNDP Risk Appetite: EXPLORATORY TO OPEN"/>
                <w:listItem w:displayText="4. ORGANIZATIONAL (4.5. Monitoring and oversight) - UNDP Risk Appetite: EXPLORATORY TO OPEN" w:value="4. ORGANIZATIONAL (4.5. Monitoring and oversight) - UNDP Risk Appetite: EXPLORATORY TO OPEN"/>
                <w:listItem w:displayText="4. ORGANIZATIONAL (4.6. Knowledge management) - UNDP Risk Appetite: EXPLORATORY TO OPEN" w:value="4. ORGANIZATIONAL (4.6. Knowledge management) - UNDP Risk Appetite: EXPLORATORY TO OPEN"/>
                <w:listItem w:displayText="4. ORGANIZATIONAL (4.7. Human Resources) - UNDP Risk Appetite: EXPLORATORY TO OPEN" w:value="4. ORGANIZATIONAL (4.7. Human Resources) - UNDP Risk Appetite: EXPLORATORY TO OPEN"/>
                <w:listItem w:displayText="4. ORGANIZATIONAL (4.8. Internal control) - UNDP Risk Appetite: EXPLORATORY TO OPEN" w:value="4. ORGANIZATIONAL (4.8. Internal control) - UNDP Risk Appetite: EXPLORATORY TO OPEN"/>
                <w:listItem w:displayText="4. ORGANIZATIONAL (4.9. Procurement) - UNDP Risk Appetite: EXPLORATORY TO OPEN" w:value="4. ORGANIZATIONAL (4.9. Procurement) - UNDP Risk Appetite: EXPLORATORY TO OPEN"/>
                <w:listItem w:displayText="5. REPUTATIONAL (5.1. Public opinion and media) - UNDP Risk Appetite: CAUTIOUS" w:value="5. REPUTATIONAL (5.1. Public opinion and media) - UNDP Risk Appetite: CAUTIOUS"/>
                <w:listItem w:displayText="5. REPUTATIONAL (5.2. Engagement with private sector partnership) - UNDP Risk Appetite: CAUTIOUS" w:value="5. REPUTATIONAL (5.2. Engagement with private sector partnership) - UNDP Risk Appetite: CAUTIOUS"/>
                <w:listItem w:displayText="5. REPUTATIONAL (5.3. Code of conduct and ethics) - UNDP Risk Appetite: CAUTIOUS" w:value="5. REPUTATIONAL (5.3. Code of conduct and ethics) - UNDP Risk Appetite: CAUTIOUS"/>
                <w:listItem w:displayText="5. REPUTATIONAL (5.4. Communications) - UNDP Risk Appetite: CAUTIOUS" w:value="5. REPUTATIONAL (5.4. Communications) - UNDP Risk Appetite: CAUTIOUS"/>
                <w:listItem w:displayText="5. REPUTATIONAL (5.5. Stakeholder management) - UNDP Risk Appetite: CAUTIOUS" w:value="5. REPUTATIONAL (5.5. Stakeholder management) - UNDP Risk Appetite: CAUTIOUS"/>
                <w:listItem w:displayText="5. REPUTATIONAL (5.6. Exposure to entities involved in money laundering and terrorism financing) - UNDP Risk Appetite: CAUTIOUS" w:value="5. REPUTATIONAL (5.6. Exposure to entities involved in money laundering and terrorism financing) - UNDP Risk Appetite: CAUTIOUS"/>
                <w:listItem w:displayText="6. REGULATORY (6.1. Changes in the regulatory framework within the country of operation) - UNDP Risk Appetite: CAUTIOUS" w:value="6. REGULATORY (6.1. Changes in the regulatory framework within the country of operation) - UNDP Risk Appetite: CAUTIOUS"/>
                <w:listItem w:displayText="6. REGULATORY (6.2. Changes in the international regulatory framework affecting the whole organization) - UNDP Risk Appetite: CAUTIOUS" w:value="6. REGULATORY (6.2. Changes in the international regulatory framework affecting the whole organization) - UNDP Risk Appetite: CAUTIOUS"/>
                <w:listItem w:displayText="6. REGULATORY (6.3. Deviation from UNDP internal rules and regulations) - UNDP Risk Appetite: CAUTIOUS" w:value="6. REGULATORY (6.3. Deviation from UNDP internal rules and regulations) - UNDP Risk Appetite: CAUTIOUS"/>
                <w:listItem w:displayText="7. STRATEGIC (7.1. Alignment with UNDP strategic priorities) - UNDP Risk Appetite: OPEN TO SEEKING" w:value="7. STRATEGIC (7.1. Alignment with UNDP strategic priorities) - UNDP Risk Appetite: OPEN TO SEEKING"/>
                <w:listItem w:displayText="7. STRATEGIC (7.2. UN system coordination and reform) - UNDP Risk Appetite: OPEN TO SEEKING" w:value="7. STRATEGIC (7.2. UN system coordination and reform) - UNDP Risk Appetite: OPEN TO SEEKING"/>
                <w:listItem w:displayText="7. STRATEGIC (7.3. Stakeholder relations and partnerships) - UNDP Risk Appetite: OPEN TO SEEKING" w:value="7. STRATEGIC (7.3. Stakeholder relations and partnerships) - UNDP Risk Appetite: OPEN TO SEEKING"/>
                <w:listItem w:displayText="7. STRATEGIC (7.4. Competition) - UNDP Risk Appetite: OPEN TO SEEKING" w:value="7. STRATEGIC (7.4. Competition) - UNDP Risk Appetite: OPEN TO SEEKING"/>
                <w:listItem w:displayText="7. STRATEGIC (7.5. Government commitment) - UNDP Risk Appetite: OPEN TO SEEKING" w:value="7. STRATEGIC (7.5. Government commitment) - UNDP Risk Appetite: OPEN TO SEEKING"/>
                <w:listItem w:displayText="7. STRATEGIC (7.6. Change/turnover in government) - UNDP Risk Appetite: OPEN TO SEEKING" w:value="7. STRATEGIC (7.6. Change/turnover in government) - UNDP Risk Appetite: OPEN TO SEEKING"/>
                <w:listItem w:displayText="7. STRATEGIC (7.7. Alignment with national priorities) - UNDP Risk Appetite: OPEN TO SEEKING" w:value="7. STRATEGIC (7.7. Alignment with national priorities) - UNDP Risk Appetite: OPEN TO SEEKING"/>
                <w:listItem w:displayText="7. STRATEGIC (7.8. Innovating, piloting, experimenting) - UNDP Risk Appetite: OPEN TO SEEKING" w:value="7. STRATEGIC (7.8. Innovating, piloting, experimenting) - UNDP Risk Appetite: OPEN TO SEEKING"/>
                <w:listItem w:displayText="8. SAFETY AND SECURITY (8.1. Armed conflict) - UNDP Risk Appetite: CAUTIOUS" w:value="8. SAFETY AND SECURITY (8.1. Armed conflict) - UNDP Risk Appetite: CAUTIOUS"/>
                <w:listItem w:displayText="8. SAFETY AND SECURITY (8.2. Political instability) - UNDP Risk Appetite: CAUTIOUS" w:value="8. SAFETY AND SECURITY (8.2. Political instability) - UNDP Risk Appetite: CAUTIOUS"/>
                <w:listItem w:displayText="8. SAFETY AND SECURITY (8.3. Terrorism) - UNDP Risk Appetite: CAUTIOUS" w:value="8. SAFETY AND SECURITY (8.3. Terrorism) - UNDP Risk Appetite: CAUTIOUS"/>
                <w:listItem w:displayText="8. SAFETY AND SECURITY (8.4. Crime) - UNDP Risk Appetite: CAUTIOUS" w:value="8. SAFETY AND SECURITY (8.4. Crime) - UNDP Risk Appetite: CAUTIOUS"/>
                <w:listItem w:displayText="8. SAFETY AND SECURITY (8.5. Civil unrest) - UNDP Risk Appetite: CAUTIOUS" w:value="8. SAFETY AND SECURITY (8.5. Civil unrest) - UNDP Risk Appetite: CAUTIOUS"/>
                <w:listItem w:displayText="8. SAFETY AND SECURITY (8.6. Natural hazards) - UNDP Risk Appetite: CAUTIOUS" w:value="8. SAFETY AND SECURITY (8.6. Natural hazards) - UNDP Risk Appetite: CAUTIOUS"/>
                <w:listItem w:displayText="8. SAFETY AND SECURITY (8.7. Manmade hazards) - UNDP Risk Appetite: CAUTIOUS" w:value="8. SAFETY AND SECURITY (8.7. Manmade hazards) - UNDP Risk Appetite: CAUTIOUS"/>
                <w:listItem w:displayText="8. SAFETY AND SECURITY (8.8. Cyber security and threats) - UNDP Risk Appetite: CAUTIOUS" w:value="8. SAFETY AND SECURITY (8.8. Cyber security and threats) - UNDP Risk Appetite: CAUTIOUS"/>
              </w:dropDownList>
            </w:sdtPr>
            <w:sdtContent>
              <w:p w14:paraId="187DF2B8" w14:textId="397645C5" w:rsidR="00027260" w:rsidRPr="0099743C" w:rsidRDefault="00027260" w:rsidP="0099743C">
                <w:pPr>
                  <w:spacing w:beforeLines="60" w:before="144" w:afterLines="60" w:after="144"/>
                  <w:contextualSpacing/>
                  <w:rPr>
                    <w:rFonts w:ascii="Arial Narrow" w:hAnsi="Arial Narrow"/>
                    <w:b/>
                    <w:sz w:val="20"/>
                  </w:rPr>
                </w:pPr>
                <w:r>
                  <w:rPr>
                    <w:rFonts w:ascii="Arial Narrow" w:hAnsi="Arial Narrow"/>
                    <w:b/>
                    <w:sz w:val="20"/>
                    <w:highlight w:val="lightGray"/>
                  </w:rPr>
                  <w:t>1. SOCIAL AND ENVIRONMENTAL (1.1. Human rights) - UNDP Risk Appetite: CAUTIOUS</w:t>
                </w:r>
              </w:p>
            </w:sdtContent>
          </w:sdt>
          <w:p w14:paraId="6C1F19C5" w14:textId="68E0F0AC" w:rsidR="00027260" w:rsidRPr="0099743C" w:rsidRDefault="00027260" w:rsidP="0099743C">
            <w:pPr>
              <w:pBdr>
                <w:top w:val="nil"/>
                <w:left w:val="nil"/>
                <w:bottom w:val="nil"/>
                <w:right w:val="nil"/>
                <w:between w:val="nil"/>
              </w:pBdr>
              <w:rPr>
                <w:rFonts w:ascii="Century Gothic" w:eastAsia="Century Gothic" w:hAnsi="Century Gothic"/>
                <w:color w:val="000000"/>
                <w:sz w:val="18"/>
              </w:rPr>
            </w:pPr>
          </w:p>
        </w:tc>
        <w:tc>
          <w:tcPr>
            <w:tcW w:w="1620" w:type="dxa"/>
            <w:vMerge w:val="restart"/>
            <w:shd w:val="clear" w:color="auto" w:fill="auto"/>
            <w:tcMar>
              <w:top w:w="80" w:type="dxa"/>
              <w:left w:w="80" w:type="dxa"/>
              <w:bottom w:w="80" w:type="dxa"/>
              <w:right w:w="80" w:type="dxa"/>
            </w:tcMar>
          </w:tcPr>
          <w:p w14:paraId="701474F8" w14:textId="77777777" w:rsidR="00027260" w:rsidRPr="0099743C" w:rsidRDefault="00027260" w:rsidP="0099743C">
            <w:pPr>
              <w:spacing w:after="40"/>
              <w:rPr>
                <w:rFonts w:ascii="Arial Narrow" w:hAnsi="Arial Narrow"/>
                <w:sz w:val="20"/>
              </w:rPr>
            </w:pPr>
            <w:r w:rsidRPr="0099743C">
              <w:rPr>
                <w:rFonts w:ascii="Arial Narrow" w:hAnsi="Arial Narrow"/>
                <w:sz w:val="20"/>
              </w:rPr>
              <w:t>Likelihood:</w:t>
            </w:r>
          </w:p>
          <w:p w14:paraId="5BD85138" w14:textId="2F1D03CC" w:rsidR="00027260" w:rsidRPr="0099743C" w:rsidRDefault="00027260" w:rsidP="0099743C">
            <w:pPr>
              <w:spacing w:after="40"/>
              <w:rPr>
                <w:rFonts w:ascii="Arial Narrow" w:hAnsi="Arial Narrow"/>
                <w:b/>
                <w:sz w:val="20"/>
              </w:rPr>
            </w:pPr>
            <w:sdt>
              <w:sdtPr>
                <w:rPr>
                  <w:rFonts w:ascii="Arial Narrow" w:hAnsi="Arial Narrow"/>
                  <w:b/>
                  <w:sz w:val="20"/>
                  <w:highlight w:val="lightGray"/>
                </w:rPr>
                <w:alias w:val="Select Likelihood Level"/>
                <w:tag w:val="Select Likelihood Level"/>
                <w:id w:val="-594477027"/>
                <w:placeholder>
                  <w:docPart w:val="82287E45503545A6B7A748143A352B55"/>
                </w:placeholder>
                <w:dropDownList>
                  <w:listItem w:displayText="PLEASE SELECT" w:value="PLEASE SELECT"/>
                  <w:listItem w:displayText="1 - Not likely" w:value="1 - Not likely"/>
                  <w:listItem w:displayText="2 - Low likelihood" w:value="2 - Low likelihood"/>
                  <w:listItem w:displayText="3 - Moderately likely" w:value="3 - Moderately likely"/>
                  <w:listItem w:displayText="4 - Highly likely" w:value="4 - Highly likely"/>
                  <w:listItem w:displayText="5 - Expected" w:value="5 - Expected"/>
                </w:dropDownList>
              </w:sdtPr>
              <w:sdtContent>
                <w:r>
                  <w:rPr>
                    <w:rFonts w:ascii="Arial Narrow" w:hAnsi="Arial Narrow"/>
                    <w:b/>
                    <w:sz w:val="20"/>
                    <w:highlight w:val="lightGray"/>
                  </w:rPr>
                  <w:t>2 - Low likelihood</w:t>
                </w:r>
              </w:sdtContent>
            </w:sdt>
          </w:p>
          <w:p w14:paraId="14B0A664" w14:textId="77777777" w:rsidR="00027260" w:rsidRPr="0099743C" w:rsidRDefault="00027260" w:rsidP="0099743C">
            <w:pPr>
              <w:spacing w:after="40"/>
              <w:rPr>
                <w:rFonts w:ascii="Arial Narrow" w:hAnsi="Arial Narrow"/>
                <w:sz w:val="20"/>
              </w:rPr>
            </w:pPr>
            <w:r w:rsidRPr="0099743C">
              <w:rPr>
                <w:rFonts w:ascii="Arial Narrow" w:hAnsi="Arial Narrow"/>
                <w:sz w:val="20"/>
              </w:rPr>
              <w:t xml:space="preserve">Impact: </w:t>
            </w:r>
          </w:p>
          <w:p w14:paraId="57EC0406" w14:textId="5D782B16" w:rsidR="00027260" w:rsidRPr="0099743C" w:rsidRDefault="00027260" w:rsidP="0099743C">
            <w:pPr>
              <w:spacing w:after="40"/>
              <w:rPr>
                <w:rFonts w:ascii="Arial Narrow" w:hAnsi="Arial Narrow"/>
                <w:b/>
                <w:sz w:val="20"/>
                <w:highlight w:val="lightGray"/>
              </w:rPr>
            </w:pPr>
            <w:sdt>
              <w:sdtPr>
                <w:rPr>
                  <w:rFonts w:ascii="Arial Narrow" w:hAnsi="Arial Narrow"/>
                  <w:b/>
                  <w:sz w:val="20"/>
                  <w:highlight w:val="lightGray"/>
                </w:rPr>
                <w:alias w:val="Select Impact Level"/>
                <w:tag w:val="Select Impact Level"/>
                <w:id w:val="-1341616752"/>
                <w:placeholder>
                  <w:docPart w:val="82287E45503545A6B7A748143A352B55"/>
                </w:placeholder>
                <w:dropDownList>
                  <w:listItem w:displayText="PLEASE SELECT" w:value="PLEASE SELECT"/>
                  <w:listItem w:displayText="1 - Negligible" w:value="1 - Negligible"/>
                  <w:listItem w:displayText="2 - Minor" w:value="2 - Minor"/>
                  <w:listItem w:displayText="3 - Intermediate" w:value="3 - Intermediate"/>
                  <w:listItem w:displayText="4 - Extensive" w:value="4 - Extensive"/>
                  <w:listItem w:displayText="5 - Extreme" w:value="5 - Extreme"/>
                </w:dropDownList>
              </w:sdtPr>
              <w:sdtContent>
                <w:r>
                  <w:rPr>
                    <w:rFonts w:ascii="Arial Narrow" w:hAnsi="Arial Narrow"/>
                    <w:b/>
                    <w:sz w:val="20"/>
                    <w:highlight w:val="lightGray"/>
                  </w:rPr>
                  <w:t>2 - Minor</w:t>
                </w:r>
              </w:sdtContent>
            </w:sdt>
          </w:p>
          <w:p w14:paraId="14632EC7" w14:textId="77777777" w:rsidR="00027260" w:rsidRPr="0099743C" w:rsidRDefault="00027260" w:rsidP="0099743C">
            <w:pPr>
              <w:spacing w:after="40"/>
              <w:rPr>
                <w:rFonts w:ascii="Arial Narrow" w:hAnsi="Arial Narrow"/>
                <w:sz w:val="20"/>
              </w:rPr>
            </w:pPr>
            <w:r w:rsidRPr="0099743C">
              <w:rPr>
                <w:rFonts w:ascii="Arial Narrow" w:hAnsi="Arial Narrow"/>
                <w:sz w:val="20"/>
              </w:rPr>
              <w:t>Risk level:</w:t>
            </w:r>
          </w:p>
          <w:p w14:paraId="6C1F19CD" w14:textId="04F478D0" w:rsidR="00027260" w:rsidRPr="0099743C" w:rsidRDefault="00027260" w:rsidP="0099743C">
            <w:pPr>
              <w:pBdr>
                <w:top w:val="nil"/>
                <w:left w:val="nil"/>
                <w:bottom w:val="nil"/>
                <w:right w:val="nil"/>
                <w:between w:val="nil"/>
              </w:pBdr>
              <w:jc w:val="both"/>
              <w:rPr>
                <w:rFonts w:ascii="Century Gothic" w:eastAsia="Century Gothic" w:hAnsi="Century Gothic"/>
                <w:color w:val="000000"/>
                <w:sz w:val="18"/>
              </w:rPr>
            </w:pPr>
            <w:sdt>
              <w:sdtPr>
                <w:rPr>
                  <w:rFonts w:ascii="Arial Narrow" w:hAnsi="Arial Narrow"/>
                  <w:b/>
                  <w:sz w:val="20"/>
                  <w:highlight w:val="lightGray"/>
                </w:rPr>
                <w:alias w:val="Select Risk Level"/>
                <w:tag w:val="Select Risk Level"/>
                <w:id w:val="911433997"/>
                <w:placeholder>
                  <w:docPart w:val="82287E45503545A6B7A748143A352B55"/>
                </w:placeholder>
                <w:dropDownList>
                  <w:listItem w:displayText="PLEASE SELECT" w:value="PLEASE SELECT"/>
                  <w:listItem w:displayText="LOW (equates to a risk appetite of MINIMAL)" w:value="LOW (equates to a risk appetite of MINIMAL)"/>
                  <w:listItem w:displayText="LOW (equates to a risk appetite of CAUTIOUS)" w:value="LOW (equates to a risk appetite of CAUTIOUS)"/>
                  <w:listItem w:displayText="MODERATE (equates to a risk appetite of EXPLORATORY)" w:value="MODERATE (equates to a risk appetite of EXPLORATORY)"/>
                  <w:listItem w:displayText="SUBSTANTIAL (equates to a risk appetite of OPEN)" w:value="SUBSTANTIAL (equates to a risk appetite of OPEN)"/>
                  <w:listItem w:displayText="HIGH RISK (equates to a risk appetite of SEEK)" w:value="HIGH RISK (equates to a risk appetite of SEEK)"/>
                </w:dropDownList>
              </w:sdtPr>
              <w:sdtContent>
                <w:r>
                  <w:rPr>
                    <w:rFonts w:ascii="Arial Narrow" w:hAnsi="Arial Narrow"/>
                    <w:b/>
                    <w:sz w:val="20"/>
                    <w:highlight w:val="lightGray"/>
                  </w:rPr>
                  <w:t>LOW (equates to a risk appetite of CAUTIOUS)</w:t>
                </w:r>
              </w:sdtContent>
            </w:sdt>
          </w:p>
        </w:tc>
        <w:tc>
          <w:tcPr>
            <w:tcW w:w="1440" w:type="dxa"/>
            <w:vMerge w:val="restart"/>
            <w:shd w:val="clear" w:color="auto" w:fill="auto"/>
            <w:tcMar>
              <w:top w:w="80" w:type="dxa"/>
              <w:left w:w="80" w:type="dxa"/>
              <w:bottom w:w="80" w:type="dxa"/>
              <w:right w:w="80" w:type="dxa"/>
            </w:tcMar>
          </w:tcPr>
          <w:p w14:paraId="1EEFA136" w14:textId="77777777" w:rsidR="00027260" w:rsidRPr="0099743C" w:rsidRDefault="00027260" w:rsidP="0099743C">
            <w:pPr>
              <w:spacing w:before="40" w:after="40"/>
              <w:contextualSpacing/>
              <w:rPr>
                <w:rFonts w:ascii="Arial Narrow" w:hAnsi="Arial Narrow"/>
                <w:sz w:val="20"/>
                <w:highlight w:val="lightGray"/>
              </w:rPr>
            </w:pPr>
            <w:r w:rsidRPr="0099743C">
              <w:rPr>
                <w:rFonts w:ascii="Arial Narrow" w:hAnsi="Arial Narrow"/>
                <w:sz w:val="20"/>
              </w:rPr>
              <w:t xml:space="preserve">From: </w:t>
            </w:r>
            <w:sdt>
              <w:sdtPr>
                <w:rPr>
                  <w:rFonts w:ascii="Arial Narrow" w:hAnsi="Arial Narrow"/>
                  <w:sz w:val="20"/>
                  <w:highlight w:val="lightGray"/>
                </w:rPr>
                <w:alias w:val="Select starting date"/>
                <w:tag w:val="Select starting date"/>
                <w:id w:val="-1921717664"/>
                <w:placeholder>
                  <w:docPart w:val="F7401304989C493DA9A03C81C4C2CFD8"/>
                </w:placeholder>
                <w:showingPlcHdr/>
                <w:date>
                  <w:dateFormat w:val="dd-MMM-yy"/>
                  <w:lid w:val="en-US"/>
                  <w:storeMappedDataAs w:val="dateTime"/>
                  <w:calendar w:val="gregorian"/>
                </w:date>
              </w:sdtPr>
              <w:sdtContent>
                <w:r w:rsidRPr="0099743C">
                  <w:rPr>
                    <w:rStyle w:val="PlaceholderText"/>
                    <w:rFonts w:ascii="Arial Narrow" w:hAnsi="Arial Narrow"/>
                    <w:b/>
                    <w:sz w:val="20"/>
                    <w:highlight w:val="lightGray"/>
                  </w:rPr>
                  <w:t>Click or tap to enter a date.</w:t>
                </w:r>
              </w:sdtContent>
            </w:sdt>
          </w:p>
          <w:p w14:paraId="6A084C70" w14:textId="77777777" w:rsidR="00027260" w:rsidRPr="0099743C" w:rsidRDefault="00027260" w:rsidP="0099743C">
            <w:pPr>
              <w:spacing w:before="40" w:after="40"/>
              <w:contextualSpacing/>
              <w:rPr>
                <w:rFonts w:ascii="Arial Narrow" w:hAnsi="Arial Narrow"/>
                <w:sz w:val="20"/>
                <w:highlight w:val="lightGray"/>
              </w:rPr>
            </w:pPr>
          </w:p>
          <w:p w14:paraId="6C1F19D0" w14:textId="5B694AE3" w:rsidR="00027260" w:rsidRPr="0099743C" w:rsidRDefault="00027260" w:rsidP="0099743C">
            <w:pPr>
              <w:pBdr>
                <w:top w:val="nil"/>
                <w:left w:val="nil"/>
                <w:bottom w:val="nil"/>
                <w:right w:val="nil"/>
                <w:between w:val="nil"/>
              </w:pBdr>
              <w:jc w:val="both"/>
              <w:rPr>
                <w:rFonts w:ascii="Century Gothic" w:eastAsia="Century Gothic" w:hAnsi="Century Gothic"/>
                <w:color w:val="000000"/>
                <w:sz w:val="18"/>
              </w:rPr>
            </w:pPr>
            <w:r w:rsidRPr="0099743C">
              <w:rPr>
                <w:rFonts w:ascii="Arial Narrow" w:hAnsi="Arial Narrow"/>
                <w:sz w:val="20"/>
              </w:rPr>
              <w:t xml:space="preserve">To: </w:t>
            </w:r>
            <w:sdt>
              <w:sdtPr>
                <w:rPr>
                  <w:rFonts w:ascii="Arial Narrow" w:hAnsi="Arial Narrow"/>
                  <w:sz w:val="20"/>
                  <w:highlight w:val="lightGray"/>
                </w:rPr>
                <w:alias w:val="Select End Date"/>
                <w:tag w:val="Select End Date"/>
                <w:id w:val="-811707882"/>
                <w:placeholder>
                  <w:docPart w:val="F7401304989C493DA9A03C81C4C2CFD8"/>
                </w:placeholder>
                <w:showingPlcHdr/>
                <w:date>
                  <w:dateFormat w:val="dd-MMM-yy"/>
                  <w:lid w:val="en-US"/>
                  <w:storeMappedDataAs w:val="dateTime"/>
                  <w:calendar w:val="gregorian"/>
                </w:date>
              </w:sdtPr>
              <w:sdtContent>
                <w:r w:rsidRPr="0099743C">
                  <w:rPr>
                    <w:rStyle w:val="PlaceholderText"/>
                    <w:rFonts w:ascii="Arial Narrow" w:hAnsi="Arial Narrow"/>
                    <w:b/>
                    <w:sz w:val="20"/>
                    <w:highlight w:val="lightGray"/>
                  </w:rPr>
                  <w:t>Click or tap to enter a date.</w:t>
                </w:r>
              </w:sdtContent>
            </w:sdt>
          </w:p>
        </w:tc>
        <w:tc>
          <w:tcPr>
            <w:tcW w:w="720" w:type="dxa"/>
            <w:vMerge w:val="restart"/>
            <w:shd w:val="clear" w:color="auto" w:fill="auto"/>
            <w:tcMar>
              <w:top w:w="80" w:type="dxa"/>
              <w:left w:w="80" w:type="dxa"/>
              <w:bottom w:w="80" w:type="dxa"/>
              <w:right w:w="80" w:type="dxa"/>
            </w:tcMar>
          </w:tcPr>
          <w:p w14:paraId="10FE57CE" w14:textId="77777777" w:rsidR="00027260" w:rsidRPr="0099743C" w:rsidRDefault="00027260" w:rsidP="00F34395">
            <w:pPr>
              <w:pBdr>
                <w:top w:val="nil"/>
                <w:left w:val="nil"/>
                <w:bottom w:val="nil"/>
                <w:right w:val="nil"/>
                <w:between w:val="nil"/>
              </w:pBdr>
              <w:jc w:val="both"/>
              <w:rPr>
                <w:rFonts w:ascii="Arial Narrow" w:eastAsia="Arial Narrow" w:hAnsi="Arial Narrow"/>
                <w:color w:val="000000"/>
                <w:sz w:val="18"/>
              </w:rPr>
            </w:pPr>
            <w:r>
              <w:rPr>
                <w:rFonts w:ascii="Arial Narrow" w:eastAsia="Arial Narrow" w:hAnsi="Arial Narrow"/>
                <w:color w:val="000000"/>
                <w:sz w:val="18"/>
              </w:rPr>
              <w:t>IRH, UNDP COs, OSCE</w:t>
            </w:r>
          </w:p>
          <w:p w14:paraId="6C1F19D1" w14:textId="2961336B" w:rsidR="00027260" w:rsidRPr="0099743C" w:rsidRDefault="00027260" w:rsidP="0099743C">
            <w:pPr>
              <w:pBdr>
                <w:top w:val="nil"/>
                <w:left w:val="nil"/>
                <w:bottom w:val="nil"/>
                <w:right w:val="nil"/>
                <w:between w:val="nil"/>
              </w:pBdr>
              <w:jc w:val="both"/>
              <w:rPr>
                <w:rFonts w:ascii="Arial Narrow" w:eastAsia="Arial Narrow" w:hAnsi="Arial Narrow"/>
                <w:color w:val="000000"/>
                <w:sz w:val="18"/>
              </w:rPr>
            </w:pPr>
          </w:p>
          <w:p w14:paraId="6C1F19D2" w14:textId="77777777" w:rsidR="00027260" w:rsidRPr="0099743C" w:rsidRDefault="00027260" w:rsidP="0099743C">
            <w:pPr>
              <w:pBdr>
                <w:top w:val="nil"/>
                <w:left w:val="nil"/>
                <w:bottom w:val="nil"/>
                <w:right w:val="nil"/>
                <w:between w:val="nil"/>
              </w:pBdr>
              <w:jc w:val="both"/>
              <w:rPr>
                <w:rFonts w:ascii="Century Gothic" w:eastAsia="Century Gothic" w:hAnsi="Century Gothic"/>
                <w:color w:val="000000"/>
                <w:sz w:val="18"/>
              </w:rPr>
            </w:pPr>
          </w:p>
        </w:tc>
        <w:tc>
          <w:tcPr>
            <w:tcW w:w="3600" w:type="dxa"/>
            <w:shd w:val="clear" w:color="auto" w:fill="auto"/>
            <w:tcMar>
              <w:top w:w="80" w:type="dxa"/>
              <w:left w:w="80" w:type="dxa"/>
              <w:bottom w:w="80" w:type="dxa"/>
              <w:right w:w="80" w:type="dxa"/>
            </w:tcMar>
          </w:tcPr>
          <w:p w14:paraId="3F310D63" w14:textId="3F84F180" w:rsidR="00027260" w:rsidRPr="00201120" w:rsidRDefault="00027260" w:rsidP="00201120">
            <w:pPr>
              <w:pBdr>
                <w:top w:val="nil"/>
                <w:left w:val="nil"/>
                <w:bottom w:val="nil"/>
                <w:right w:val="nil"/>
                <w:between w:val="nil"/>
              </w:pBdr>
              <w:spacing w:after="60"/>
              <w:jc w:val="both"/>
              <w:rPr>
                <w:rFonts w:ascii="Arial Narrow" w:eastAsia="Arial Narrow" w:hAnsi="Arial Narrow"/>
                <w:color w:val="000000"/>
                <w:sz w:val="18"/>
                <w:lang w:val="en-GB"/>
              </w:rPr>
            </w:pPr>
            <w:r w:rsidRPr="0099743C">
              <w:rPr>
                <w:rFonts w:ascii="Arial Narrow" w:eastAsia="Arial Narrow" w:hAnsi="Arial Narrow"/>
                <w:color w:val="000000"/>
                <w:sz w:val="18"/>
              </w:rPr>
              <w:t>Risk Treatmen</w:t>
            </w:r>
            <w:r>
              <w:rPr>
                <w:rFonts w:ascii="Arial Narrow" w:eastAsia="Arial Narrow" w:hAnsi="Arial Narrow"/>
                <w:color w:val="000000"/>
                <w:sz w:val="18"/>
              </w:rPr>
              <w:t>t 1</w:t>
            </w:r>
            <w:r w:rsidRPr="0099743C">
              <w:rPr>
                <w:rFonts w:ascii="Arial Narrow" w:eastAsia="Arial Narrow" w:hAnsi="Arial Narrow"/>
                <w:color w:val="000000"/>
                <w:sz w:val="18"/>
              </w:rPr>
              <w:t>:</w:t>
            </w:r>
            <w:r>
              <w:rPr>
                <w:rFonts w:ascii="Arial Narrow" w:eastAsia="Arial Narrow" w:hAnsi="Arial Narrow"/>
                <w:color w:val="000000"/>
                <w:sz w:val="18"/>
              </w:rPr>
              <w:t xml:space="preserve"> </w:t>
            </w:r>
            <w:r w:rsidRPr="00201120">
              <w:rPr>
                <w:rFonts w:ascii="Arial Narrow" w:eastAsia="Arial Narrow" w:hAnsi="Arial Narrow"/>
                <w:color w:val="000000"/>
                <w:sz w:val="18"/>
                <w:lang w:val="en-GB"/>
              </w:rPr>
              <w:t xml:space="preserve">The project will work with local NGOs and CSOs, and local authorities to include the most disadvantage social groups to benefit from specific project interventions. It </w:t>
            </w:r>
            <w:r w:rsidRPr="00201120">
              <w:rPr>
                <w:rFonts w:ascii="Arial Narrow" w:eastAsia="Arial Narrow" w:hAnsi="Arial Narrow"/>
                <w:bCs/>
                <w:iCs/>
                <w:color w:val="000000"/>
                <w:sz w:val="18"/>
                <w:lang w:val="en-GB"/>
              </w:rPr>
              <w:t>will prioritize key factors related to the most vulnerable population categories in the target legacy sites, aligning with UNDP criteria to ‘leave no one behind’.</w:t>
            </w:r>
          </w:p>
          <w:p w14:paraId="6C1F19D4" w14:textId="57DB5A44" w:rsidR="00027260" w:rsidRPr="00201120" w:rsidRDefault="00027260" w:rsidP="0099743C">
            <w:pPr>
              <w:pBdr>
                <w:top w:val="nil"/>
                <w:left w:val="nil"/>
                <w:bottom w:val="nil"/>
                <w:right w:val="nil"/>
                <w:between w:val="nil"/>
              </w:pBdr>
              <w:spacing w:after="60"/>
              <w:jc w:val="both"/>
              <w:rPr>
                <w:rFonts w:ascii="Arial Narrow" w:eastAsia="Arial Narrow" w:hAnsi="Arial Narrow"/>
                <w:color w:val="000000"/>
                <w:sz w:val="18"/>
                <w:lang w:val="en-GB"/>
              </w:rPr>
            </w:pPr>
          </w:p>
          <w:p w14:paraId="6C1F19D5" w14:textId="1517E023" w:rsidR="00027260" w:rsidRPr="0099743C" w:rsidRDefault="00027260" w:rsidP="0099743C">
            <w:pPr>
              <w:pBdr>
                <w:top w:val="nil"/>
                <w:left w:val="nil"/>
                <w:bottom w:val="nil"/>
                <w:right w:val="nil"/>
                <w:between w:val="nil"/>
              </w:pBdr>
              <w:spacing w:after="60"/>
              <w:jc w:val="both"/>
              <w:rPr>
                <w:rFonts w:ascii="Century Gothic" w:eastAsia="Century Gothic" w:hAnsi="Century Gothic"/>
                <w:color w:val="000000"/>
                <w:sz w:val="18"/>
              </w:rPr>
            </w:pPr>
            <w:r w:rsidRPr="0099743C">
              <w:rPr>
                <w:rFonts w:ascii="Arial Narrow" w:eastAsia="Arial Narrow" w:hAnsi="Arial Narrow"/>
                <w:color w:val="000000"/>
                <w:sz w:val="18"/>
              </w:rPr>
              <w:t>Risk Treatment Owner:</w:t>
            </w:r>
            <w:r>
              <w:rPr>
                <w:rFonts w:ascii="Arial Narrow" w:eastAsia="Arial Narrow" w:hAnsi="Arial Narrow"/>
                <w:color w:val="000000"/>
                <w:sz w:val="18"/>
              </w:rPr>
              <w:t xml:space="preserve"> IRH, UNDP COs, OSCE</w:t>
            </w:r>
          </w:p>
        </w:tc>
      </w:tr>
      <w:tr w:rsidR="00027260" w14:paraId="6C1F19E2" w14:textId="77777777" w:rsidTr="004707EE">
        <w:trPr>
          <w:trHeight w:val="144"/>
        </w:trPr>
        <w:tc>
          <w:tcPr>
            <w:tcW w:w="360" w:type="dxa"/>
            <w:vMerge/>
            <w:tcMar>
              <w:top w:w="80" w:type="dxa"/>
              <w:left w:w="80" w:type="dxa"/>
              <w:bottom w:w="80" w:type="dxa"/>
              <w:right w:w="80" w:type="dxa"/>
            </w:tcMar>
          </w:tcPr>
          <w:p w14:paraId="6C1F19D7" w14:textId="77777777" w:rsidR="00027260" w:rsidRPr="0099743C" w:rsidRDefault="00027260" w:rsidP="0099743C">
            <w:pPr>
              <w:widowControl w:val="0"/>
              <w:pBdr>
                <w:top w:val="nil"/>
                <w:left w:val="nil"/>
                <w:bottom w:val="nil"/>
                <w:right w:val="nil"/>
                <w:between w:val="nil"/>
              </w:pBdr>
              <w:rPr>
                <w:rFonts w:ascii="Century Gothic" w:eastAsia="Century Gothic" w:hAnsi="Century Gothic"/>
                <w:color w:val="000000"/>
                <w:sz w:val="20"/>
              </w:rPr>
            </w:pPr>
          </w:p>
        </w:tc>
        <w:tc>
          <w:tcPr>
            <w:tcW w:w="2070" w:type="dxa"/>
            <w:vMerge/>
            <w:tcMar>
              <w:top w:w="80" w:type="dxa"/>
              <w:left w:w="80" w:type="dxa"/>
              <w:bottom w:w="80" w:type="dxa"/>
              <w:right w:w="80" w:type="dxa"/>
            </w:tcMar>
          </w:tcPr>
          <w:p w14:paraId="6C1F19D8" w14:textId="77777777" w:rsidR="00027260" w:rsidRPr="0099743C" w:rsidRDefault="00027260" w:rsidP="0099743C">
            <w:pPr>
              <w:widowControl w:val="0"/>
              <w:pBdr>
                <w:top w:val="nil"/>
                <w:left w:val="nil"/>
                <w:bottom w:val="nil"/>
                <w:right w:val="nil"/>
                <w:between w:val="nil"/>
              </w:pBdr>
              <w:rPr>
                <w:rFonts w:ascii="Century Gothic" w:eastAsia="Century Gothic" w:hAnsi="Century Gothic"/>
                <w:color w:val="000000"/>
                <w:sz w:val="20"/>
              </w:rPr>
            </w:pPr>
          </w:p>
        </w:tc>
        <w:tc>
          <w:tcPr>
            <w:tcW w:w="2070" w:type="dxa"/>
            <w:vMerge/>
            <w:tcMar>
              <w:top w:w="80" w:type="dxa"/>
              <w:left w:w="80" w:type="dxa"/>
              <w:bottom w:w="80" w:type="dxa"/>
              <w:right w:w="80" w:type="dxa"/>
            </w:tcMar>
          </w:tcPr>
          <w:p w14:paraId="6C1F19D9" w14:textId="77777777" w:rsidR="00027260" w:rsidRPr="0099743C" w:rsidRDefault="00027260" w:rsidP="0099743C">
            <w:pPr>
              <w:widowControl w:val="0"/>
              <w:pBdr>
                <w:top w:val="nil"/>
                <w:left w:val="nil"/>
                <w:bottom w:val="nil"/>
                <w:right w:val="nil"/>
                <w:between w:val="nil"/>
              </w:pBdr>
              <w:rPr>
                <w:rFonts w:ascii="Century Gothic" w:eastAsia="Century Gothic" w:hAnsi="Century Gothic"/>
                <w:color w:val="000000"/>
                <w:sz w:val="20"/>
              </w:rPr>
            </w:pPr>
          </w:p>
        </w:tc>
        <w:tc>
          <w:tcPr>
            <w:tcW w:w="2160" w:type="dxa"/>
            <w:vMerge/>
            <w:tcMar>
              <w:top w:w="80" w:type="dxa"/>
              <w:left w:w="80" w:type="dxa"/>
              <w:bottom w:w="80" w:type="dxa"/>
              <w:right w:w="80" w:type="dxa"/>
            </w:tcMar>
          </w:tcPr>
          <w:p w14:paraId="6C1F19DA" w14:textId="77777777" w:rsidR="00027260" w:rsidRPr="0099743C" w:rsidRDefault="00027260" w:rsidP="0099743C">
            <w:pPr>
              <w:widowControl w:val="0"/>
              <w:pBdr>
                <w:top w:val="nil"/>
                <w:left w:val="nil"/>
                <w:bottom w:val="nil"/>
                <w:right w:val="nil"/>
                <w:between w:val="nil"/>
              </w:pBdr>
              <w:rPr>
                <w:rFonts w:ascii="Century Gothic" w:eastAsia="Century Gothic" w:hAnsi="Century Gothic"/>
                <w:color w:val="000000"/>
                <w:sz w:val="20"/>
              </w:rPr>
            </w:pPr>
          </w:p>
        </w:tc>
        <w:tc>
          <w:tcPr>
            <w:tcW w:w="1800" w:type="dxa"/>
            <w:vMerge/>
            <w:tcMar>
              <w:top w:w="80" w:type="dxa"/>
              <w:left w:w="80" w:type="dxa"/>
              <w:bottom w:w="80" w:type="dxa"/>
              <w:right w:w="80" w:type="dxa"/>
            </w:tcMar>
          </w:tcPr>
          <w:p w14:paraId="6C1F19DB" w14:textId="77777777" w:rsidR="00027260" w:rsidRPr="0099743C" w:rsidRDefault="00027260" w:rsidP="0099743C">
            <w:pPr>
              <w:widowControl w:val="0"/>
              <w:pBdr>
                <w:top w:val="nil"/>
                <w:left w:val="nil"/>
                <w:bottom w:val="nil"/>
                <w:right w:val="nil"/>
                <w:between w:val="nil"/>
              </w:pBdr>
              <w:rPr>
                <w:rFonts w:ascii="Century Gothic" w:eastAsia="Century Gothic" w:hAnsi="Century Gothic"/>
                <w:color w:val="000000"/>
                <w:sz w:val="20"/>
              </w:rPr>
            </w:pPr>
          </w:p>
        </w:tc>
        <w:tc>
          <w:tcPr>
            <w:tcW w:w="1620" w:type="dxa"/>
            <w:vMerge/>
            <w:tcMar>
              <w:top w:w="80" w:type="dxa"/>
              <w:left w:w="80" w:type="dxa"/>
              <w:bottom w:w="80" w:type="dxa"/>
              <w:right w:w="80" w:type="dxa"/>
            </w:tcMar>
          </w:tcPr>
          <w:p w14:paraId="6C1F19DC" w14:textId="77777777" w:rsidR="00027260" w:rsidRPr="0099743C" w:rsidRDefault="00027260" w:rsidP="0099743C">
            <w:pPr>
              <w:widowControl w:val="0"/>
              <w:pBdr>
                <w:top w:val="nil"/>
                <w:left w:val="nil"/>
                <w:bottom w:val="nil"/>
                <w:right w:val="nil"/>
                <w:between w:val="nil"/>
              </w:pBdr>
              <w:rPr>
                <w:rFonts w:ascii="Century Gothic" w:eastAsia="Century Gothic" w:hAnsi="Century Gothic"/>
                <w:color w:val="000000"/>
                <w:sz w:val="20"/>
              </w:rPr>
            </w:pPr>
          </w:p>
        </w:tc>
        <w:tc>
          <w:tcPr>
            <w:tcW w:w="1440" w:type="dxa"/>
            <w:vMerge/>
            <w:tcMar>
              <w:top w:w="80" w:type="dxa"/>
              <w:left w:w="80" w:type="dxa"/>
              <w:bottom w:w="80" w:type="dxa"/>
              <w:right w:w="80" w:type="dxa"/>
            </w:tcMar>
          </w:tcPr>
          <w:p w14:paraId="6C1F19DD" w14:textId="77777777" w:rsidR="00027260" w:rsidRPr="0099743C" w:rsidRDefault="00027260" w:rsidP="0099743C">
            <w:pPr>
              <w:widowControl w:val="0"/>
              <w:pBdr>
                <w:top w:val="nil"/>
                <w:left w:val="nil"/>
                <w:bottom w:val="nil"/>
                <w:right w:val="nil"/>
                <w:between w:val="nil"/>
              </w:pBdr>
              <w:rPr>
                <w:rFonts w:ascii="Century Gothic" w:eastAsia="Century Gothic" w:hAnsi="Century Gothic"/>
                <w:color w:val="000000"/>
                <w:sz w:val="20"/>
              </w:rPr>
            </w:pPr>
          </w:p>
        </w:tc>
        <w:tc>
          <w:tcPr>
            <w:tcW w:w="720" w:type="dxa"/>
            <w:vMerge/>
            <w:tcMar>
              <w:top w:w="80" w:type="dxa"/>
              <w:left w:w="80" w:type="dxa"/>
              <w:bottom w:w="80" w:type="dxa"/>
              <w:right w:w="80" w:type="dxa"/>
            </w:tcMar>
          </w:tcPr>
          <w:p w14:paraId="6C1F19DE" w14:textId="77777777" w:rsidR="00027260" w:rsidRPr="0099743C" w:rsidRDefault="00027260" w:rsidP="0099743C">
            <w:pPr>
              <w:widowControl w:val="0"/>
              <w:pBdr>
                <w:top w:val="nil"/>
                <w:left w:val="nil"/>
                <w:bottom w:val="nil"/>
                <w:right w:val="nil"/>
                <w:between w:val="nil"/>
              </w:pBdr>
              <w:rPr>
                <w:rFonts w:ascii="Century Gothic" w:eastAsia="Century Gothic" w:hAnsi="Century Gothic"/>
                <w:color w:val="000000"/>
                <w:sz w:val="20"/>
              </w:rPr>
            </w:pPr>
          </w:p>
        </w:tc>
        <w:tc>
          <w:tcPr>
            <w:tcW w:w="3600" w:type="dxa"/>
            <w:shd w:val="clear" w:color="auto" w:fill="auto"/>
            <w:tcMar>
              <w:top w:w="80" w:type="dxa"/>
              <w:left w:w="80" w:type="dxa"/>
              <w:bottom w:w="80" w:type="dxa"/>
              <w:right w:w="80" w:type="dxa"/>
            </w:tcMar>
          </w:tcPr>
          <w:p w14:paraId="6C1F19E0" w14:textId="072BC945" w:rsidR="00027260" w:rsidRPr="000F3666" w:rsidRDefault="00027260" w:rsidP="0099743C">
            <w:pPr>
              <w:pBdr>
                <w:top w:val="nil"/>
                <w:left w:val="nil"/>
                <w:bottom w:val="nil"/>
                <w:right w:val="nil"/>
                <w:between w:val="nil"/>
              </w:pBdr>
              <w:spacing w:after="60"/>
              <w:jc w:val="both"/>
              <w:rPr>
                <w:rFonts w:ascii="Arial Narrow" w:eastAsia="Arial Narrow" w:hAnsi="Arial Narrow"/>
                <w:color w:val="000000"/>
                <w:sz w:val="18"/>
                <w:lang w:val="en-GB" w:bidi="en-US"/>
              </w:rPr>
            </w:pPr>
            <w:r w:rsidRPr="0099743C">
              <w:rPr>
                <w:rFonts w:ascii="Arial Narrow" w:eastAsia="Arial Narrow" w:hAnsi="Arial Narrow"/>
                <w:color w:val="000000"/>
                <w:sz w:val="18"/>
              </w:rPr>
              <w:t xml:space="preserve">Risk Treatment </w:t>
            </w:r>
            <w:r>
              <w:rPr>
                <w:rFonts w:ascii="Arial Narrow" w:eastAsia="Arial Narrow" w:hAnsi="Arial Narrow"/>
                <w:color w:val="000000"/>
                <w:sz w:val="18"/>
              </w:rPr>
              <w:t>2</w:t>
            </w:r>
            <w:r w:rsidRPr="0099743C">
              <w:rPr>
                <w:rFonts w:ascii="Arial Narrow" w:eastAsia="Arial Narrow" w:hAnsi="Arial Narrow"/>
                <w:color w:val="000000"/>
                <w:sz w:val="18"/>
              </w:rPr>
              <w:t xml:space="preserve">: </w:t>
            </w:r>
            <w:r w:rsidRPr="000F3666">
              <w:rPr>
                <w:rFonts w:ascii="Arial Narrow" w:eastAsia="Arial Narrow" w:hAnsi="Arial Narrow"/>
                <w:color w:val="000000"/>
                <w:sz w:val="18"/>
                <w:lang w:val="en-GB"/>
              </w:rPr>
              <w:t xml:space="preserve">UNDP has a proven record of successfully implementing multi-stakeholder participatory approaches for mapping, community development planning and designing </w:t>
            </w:r>
            <w:r w:rsidRPr="000F3666">
              <w:rPr>
                <w:rFonts w:ascii="Arial Narrow" w:eastAsia="Arial Narrow" w:hAnsi="Arial Narrow"/>
                <w:bCs/>
                <w:iCs/>
                <w:color w:val="000000"/>
                <w:sz w:val="18"/>
                <w:lang w:val="en-GB"/>
              </w:rPr>
              <w:t>effective project interventions that address the needs of local communities. This approach will be advocated in this phase.</w:t>
            </w:r>
          </w:p>
          <w:p w14:paraId="6C1F19E1" w14:textId="3B6694A8" w:rsidR="00027260" w:rsidRPr="0099743C" w:rsidRDefault="00027260" w:rsidP="0099743C">
            <w:pPr>
              <w:pBdr>
                <w:top w:val="nil"/>
                <w:left w:val="nil"/>
                <w:bottom w:val="nil"/>
                <w:right w:val="nil"/>
                <w:between w:val="nil"/>
              </w:pBdr>
              <w:spacing w:after="60"/>
              <w:jc w:val="both"/>
              <w:rPr>
                <w:rFonts w:ascii="Century Gothic" w:eastAsia="Century Gothic" w:hAnsi="Century Gothic"/>
                <w:color w:val="000000"/>
                <w:sz w:val="18"/>
              </w:rPr>
            </w:pPr>
            <w:r w:rsidRPr="0099743C">
              <w:rPr>
                <w:rFonts w:ascii="Arial Narrow" w:eastAsia="Arial Narrow" w:hAnsi="Arial Narrow"/>
                <w:color w:val="000000"/>
                <w:sz w:val="18"/>
              </w:rPr>
              <w:t>Risk Treatment Owner:</w:t>
            </w:r>
            <w:r>
              <w:rPr>
                <w:rFonts w:ascii="Arial Narrow" w:eastAsia="Arial Narrow" w:hAnsi="Arial Narrow"/>
                <w:color w:val="000000"/>
                <w:sz w:val="18"/>
              </w:rPr>
              <w:t xml:space="preserve"> IRH, UNDP COs, OSCE</w:t>
            </w:r>
          </w:p>
        </w:tc>
      </w:tr>
      <w:tr w:rsidR="00027260" w14:paraId="6C1F19EE" w14:textId="77777777" w:rsidTr="004707EE">
        <w:trPr>
          <w:trHeight w:val="189"/>
        </w:trPr>
        <w:tc>
          <w:tcPr>
            <w:tcW w:w="360" w:type="dxa"/>
            <w:vMerge/>
            <w:tcMar>
              <w:top w:w="80" w:type="dxa"/>
              <w:left w:w="80" w:type="dxa"/>
              <w:bottom w:w="80" w:type="dxa"/>
              <w:right w:w="80" w:type="dxa"/>
            </w:tcMar>
          </w:tcPr>
          <w:p w14:paraId="6C1F19E3" w14:textId="77777777" w:rsidR="00027260" w:rsidRPr="0099743C" w:rsidRDefault="00027260" w:rsidP="0099743C">
            <w:pPr>
              <w:widowControl w:val="0"/>
              <w:pBdr>
                <w:top w:val="nil"/>
                <w:left w:val="nil"/>
                <w:bottom w:val="nil"/>
                <w:right w:val="nil"/>
                <w:between w:val="nil"/>
              </w:pBdr>
              <w:rPr>
                <w:rFonts w:ascii="Century Gothic" w:eastAsia="Century Gothic" w:hAnsi="Century Gothic"/>
                <w:color w:val="000000"/>
                <w:sz w:val="20"/>
              </w:rPr>
            </w:pPr>
          </w:p>
        </w:tc>
        <w:tc>
          <w:tcPr>
            <w:tcW w:w="2070" w:type="dxa"/>
            <w:vMerge/>
            <w:tcMar>
              <w:top w:w="80" w:type="dxa"/>
              <w:left w:w="80" w:type="dxa"/>
              <w:bottom w:w="80" w:type="dxa"/>
              <w:right w:w="80" w:type="dxa"/>
            </w:tcMar>
          </w:tcPr>
          <w:p w14:paraId="6C1F19E4" w14:textId="77777777" w:rsidR="00027260" w:rsidRPr="0099743C" w:rsidRDefault="00027260" w:rsidP="0099743C">
            <w:pPr>
              <w:widowControl w:val="0"/>
              <w:pBdr>
                <w:top w:val="nil"/>
                <w:left w:val="nil"/>
                <w:bottom w:val="nil"/>
                <w:right w:val="nil"/>
                <w:between w:val="nil"/>
              </w:pBdr>
              <w:rPr>
                <w:rFonts w:ascii="Century Gothic" w:eastAsia="Century Gothic" w:hAnsi="Century Gothic"/>
                <w:color w:val="000000"/>
                <w:sz w:val="20"/>
              </w:rPr>
            </w:pPr>
          </w:p>
        </w:tc>
        <w:tc>
          <w:tcPr>
            <w:tcW w:w="2070" w:type="dxa"/>
            <w:vMerge/>
            <w:tcMar>
              <w:top w:w="80" w:type="dxa"/>
              <w:left w:w="80" w:type="dxa"/>
              <w:bottom w:w="80" w:type="dxa"/>
              <w:right w:w="80" w:type="dxa"/>
            </w:tcMar>
          </w:tcPr>
          <w:p w14:paraId="6C1F19E5" w14:textId="77777777" w:rsidR="00027260" w:rsidRPr="0099743C" w:rsidRDefault="00027260" w:rsidP="0099743C">
            <w:pPr>
              <w:widowControl w:val="0"/>
              <w:pBdr>
                <w:top w:val="nil"/>
                <w:left w:val="nil"/>
                <w:bottom w:val="nil"/>
                <w:right w:val="nil"/>
                <w:between w:val="nil"/>
              </w:pBdr>
              <w:rPr>
                <w:rFonts w:ascii="Century Gothic" w:eastAsia="Century Gothic" w:hAnsi="Century Gothic"/>
                <w:color w:val="000000"/>
                <w:sz w:val="20"/>
              </w:rPr>
            </w:pPr>
          </w:p>
        </w:tc>
        <w:tc>
          <w:tcPr>
            <w:tcW w:w="2160" w:type="dxa"/>
            <w:vMerge/>
            <w:tcMar>
              <w:top w:w="80" w:type="dxa"/>
              <w:left w:w="80" w:type="dxa"/>
              <w:bottom w:w="80" w:type="dxa"/>
              <w:right w:w="80" w:type="dxa"/>
            </w:tcMar>
          </w:tcPr>
          <w:p w14:paraId="6C1F19E6" w14:textId="77777777" w:rsidR="00027260" w:rsidRPr="0099743C" w:rsidRDefault="00027260" w:rsidP="0099743C">
            <w:pPr>
              <w:widowControl w:val="0"/>
              <w:pBdr>
                <w:top w:val="nil"/>
                <w:left w:val="nil"/>
                <w:bottom w:val="nil"/>
                <w:right w:val="nil"/>
                <w:between w:val="nil"/>
              </w:pBdr>
              <w:rPr>
                <w:rFonts w:ascii="Century Gothic" w:eastAsia="Century Gothic" w:hAnsi="Century Gothic"/>
                <w:color w:val="000000"/>
                <w:sz w:val="20"/>
              </w:rPr>
            </w:pPr>
          </w:p>
        </w:tc>
        <w:tc>
          <w:tcPr>
            <w:tcW w:w="1800" w:type="dxa"/>
            <w:vMerge/>
            <w:tcMar>
              <w:top w:w="80" w:type="dxa"/>
              <w:left w:w="80" w:type="dxa"/>
              <w:bottom w:w="80" w:type="dxa"/>
              <w:right w:w="80" w:type="dxa"/>
            </w:tcMar>
          </w:tcPr>
          <w:p w14:paraId="6C1F19E7" w14:textId="77777777" w:rsidR="00027260" w:rsidRPr="0099743C" w:rsidRDefault="00027260" w:rsidP="0099743C">
            <w:pPr>
              <w:widowControl w:val="0"/>
              <w:pBdr>
                <w:top w:val="nil"/>
                <w:left w:val="nil"/>
                <w:bottom w:val="nil"/>
                <w:right w:val="nil"/>
                <w:between w:val="nil"/>
              </w:pBdr>
              <w:rPr>
                <w:rFonts w:ascii="Century Gothic" w:eastAsia="Century Gothic" w:hAnsi="Century Gothic"/>
                <w:color w:val="000000"/>
                <w:sz w:val="20"/>
              </w:rPr>
            </w:pPr>
          </w:p>
        </w:tc>
        <w:tc>
          <w:tcPr>
            <w:tcW w:w="1620" w:type="dxa"/>
            <w:vMerge/>
            <w:tcMar>
              <w:top w:w="80" w:type="dxa"/>
              <w:left w:w="80" w:type="dxa"/>
              <w:bottom w:w="80" w:type="dxa"/>
              <w:right w:w="80" w:type="dxa"/>
            </w:tcMar>
          </w:tcPr>
          <w:p w14:paraId="6C1F19E8" w14:textId="77777777" w:rsidR="00027260" w:rsidRPr="0099743C" w:rsidRDefault="00027260" w:rsidP="0099743C">
            <w:pPr>
              <w:widowControl w:val="0"/>
              <w:pBdr>
                <w:top w:val="nil"/>
                <w:left w:val="nil"/>
                <w:bottom w:val="nil"/>
                <w:right w:val="nil"/>
                <w:between w:val="nil"/>
              </w:pBdr>
              <w:rPr>
                <w:rFonts w:ascii="Century Gothic" w:eastAsia="Century Gothic" w:hAnsi="Century Gothic"/>
                <w:color w:val="000000"/>
                <w:sz w:val="20"/>
              </w:rPr>
            </w:pPr>
          </w:p>
        </w:tc>
        <w:tc>
          <w:tcPr>
            <w:tcW w:w="1440" w:type="dxa"/>
            <w:vMerge/>
            <w:tcMar>
              <w:top w:w="80" w:type="dxa"/>
              <w:left w:w="80" w:type="dxa"/>
              <w:bottom w:w="80" w:type="dxa"/>
              <w:right w:w="80" w:type="dxa"/>
            </w:tcMar>
          </w:tcPr>
          <w:p w14:paraId="6C1F19E9" w14:textId="77777777" w:rsidR="00027260" w:rsidRPr="0099743C" w:rsidRDefault="00027260" w:rsidP="0099743C">
            <w:pPr>
              <w:widowControl w:val="0"/>
              <w:pBdr>
                <w:top w:val="nil"/>
                <w:left w:val="nil"/>
                <w:bottom w:val="nil"/>
                <w:right w:val="nil"/>
                <w:between w:val="nil"/>
              </w:pBdr>
              <w:rPr>
                <w:rFonts w:ascii="Century Gothic" w:eastAsia="Century Gothic" w:hAnsi="Century Gothic"/>
                <w:color w:val="000000"/>
                <w:sz w:val="20"/>
              </w:rPr>
            </w:pPr>
          </w:p>
        </w:tc>
        <w:tc>
          <w:tcPr>
            <w:tcW w:w="720" w:type="dxa"/>
            <w:vMerge/>
            <w:tcMar>
              <w:top w:w="80" w:type="dxa"/>
              <w:left w:w="80" w:type="dxa"/>
              <w:bottom w:w="80" w:type="dxa"/>
              <w:right w:w="80" w:type="dxa"/>
            </w:tcMar>
          </w:tcPr>
          <w:p w14:paraId="6C1F19EA" w14:textId="77777777" w:rsidR="00027260" w:rsidRPr="0099743C" w:rsidRDefault="00027260" w:rsidP="0099743C">
            <w:pPr>
              <w:widowControl w:val="0"/>
              <w:pBdr>
                <w:top w:val="nil"/>
                <w:left w:val="nil"/>
                <w:bottom w:val="nil"/>
                <w:right w:val="nil"/>
                <w:between w:val="nil"/>
              </w:pBdr>
              <w:rPr>
                <w:rFonts w:ascii="Century Gothic" w:eastAsia="Century Gothic" w:hAnsi="Century Gothic"/>
                <w:color w:val="000000"/>
                <w:sz w:val="20"/>
              </w:rPr>
            </w:pPr>
          </w:p>
        </w:tc>
        <w:tc>
          <w:tcPr>
            <w:tcW w:w="3600" w:type="dxa"/>
            <w:shd w:val="clear" w:color="auto" w:fill="auto"/>
            <w:tcMar>
              <w:top w:w="80" w:type="dxa"/>
              <w:left w:w="80" w:type="dxa"/>
              <w:bottom w:w="80" w:type="dxa"/>
              <w:right w:w="80" w:type="dxa"/>
            </w:tcMar>
          </w:tcPr>
          <w:p w14:paraId="2B9B3B8A" w14:textId="18904E74" w:rsidR="00027260" w:rsidRPr="00C93F75" w:rsidRDefault="00027260" w:rsidP="00C93F75">
            <w:pPr>
              <w:pBdr>
                <w:top w:val="nil"/>
                <w:left w:val="nil"/>
                <w:bottom w:val="nil"/>
                <w:right w:val="nil"/>
                <w:between w:val="nil"/>
              </w:pBdr>
              <w:spacing w:after="60"/>
              <w:jc w:val="both"/>
              <w:rPr>
                <w:rFonts w:ascii="Arial Narrow" w:eastAsia="Arial Narrow" w:hAnsi="Arial Narrow"/>
                <w:iCs/>
                <w:color w:val="000000"/>
                <w:sz w:val="18"/>
                <w:lang w:val="en-GB" w:bidi="en-US"/>
              </w:rPr>
            </w:pPr>
            <w:r w:rsidRPr="0099743C">
              <w:rPr>
                <w:rFonts w:ascii="Arial Narrow" w:eastAsia="Arial Narrow" w:hAnsi="Arial Narrow"/>
                <w:color w:val="000000"/>
                <w:sz w:val="18"/>
              </w:rPr>
              <w:t>Risk Treatment</w:t>
            </w:r>
            <w:r>
              <w:rPr>
                <w:rFonts w:ascii="Arial Narrow" w:eastAsia="Arial Narrow" w:hAnsi="Arial Narrow"/>
                <w:color w:val="000000"/>
                <w:sz w:val="18"/>
              </w:rPr>
              <w:t xml:space="preserve"> </w:t>
            </w:r>
            <w:r w:rsidRPr="0099743C">
              <w:rPr>
                <w:rFonts w:ascii="Arial Narrow" w:eastAsia="Arial Narrow" w:hAnsi="Arial Narrow"/>
                <w:color w:val="000000"/>
                <w:sz w:val="18"/>
              </w:rPr>
              <w:t xml:space="preserve">3: </w:t>
            </w:r>
            <w:r w:rsidRPr="00C93F75">
              <w:rPr>
                <w:rFonts w:ascii="Arial Narrow" w:eastAsia="Arial Narrow" w:hAnsi="Arial Narrow"/>
                <w:iCs/>
                <w:color w:val="000000"/>
                <w:sz w:val="18"/>
                <w:lang w:val="en-GB"/>
              </w:rPr>
              <w:t xml:space="preserve">An effective project-level grievance redress mechanism will be established, and </w:t>
            </w:r>
            <w:r w:rsidRPr="00C93F75">
              <w:rPr>
                <w:rFonts w:ascii="Arial Narrow" w:eastAsia="Arial Narrow" w:hAnsi="Arial Narrow"/>
                <w:iCs/>
                <w:color w:val="000000"/>
                <w:sz w:val="18"/>
                <w:lang w:val="en-GB" w:bidi="en-US"/>
              </w:rPr>
              <w:t>stakeholders will be informed about this available mechanism for submitting their concerns</w:t>
            </w:r>
            <w:r>
              <w:rPr>
                <w:rFonts w:ascii="Arial Narrow" w:eastAsia="Arial Narrow" w:hAnsi="Arial Narrow"/>
                <w:iCs/>
                <w:color w:val="000000"/>
                <w:sz w:val="18"/>
                <w:lang w:val="en-GB" w:bidi="en-US"/>
              </w:rPr>
              <w:t>.</w:t>
            </w:r>
          </w:p>
          <w:p w14:paraId="6C1F19ED" w14:textId="2CA45531" w:rsidR="00027260" w:rsidRPr="0099743C" w:rsidRDefault="00027260" w:rsidP="0099743C">
            <w:pPr>
              <w:pBdr>
                <w:top w:val="nil"/>
                <w:left w:val="nil"/>
                <w:bottom w:val="nil"/>
                <w:right w:val="nil"/>
                <w:between w:val="nil"/>
              </w:pBdr>
              <w:spacing w:after="60"/>
              <w:jc w:val="both"/>
              <w:rPr>
                <w:rFonts w:ascii="Century Gothic" w:eastAsia="Century Gothic" w:hAnsi="Century Gothic"/>
                <w:color w:val="000000"/>
                <w:sz w:val="18"/>
              </w:rPr>
            </w:pPr>
            <w:r w:rsidRPr="0099743C">
              <w:rPr>
                <w:rFonts w:ascii="Arial Narrow" w:eastAsia="Arial Narrow" w:hAnsi="Arial Narrow"/>
                <w:color w:val="000000"/>
                <w:sz w:val="18"/>
              </w:rPr>
              <w:t>Risk Treatment Owner: Risk Treatment Owner:</w:t>
            </w:r>
            <w:r>
              <w:rPr>
                <w:rFonts w:ascii="Arial Narrow" w:eastAsia="Arial Narrow" w:hAnsi="Arial Narrow"/>
                <w:color w:val="000000"/>
                <w:sz w:val="18"/>
              </w:rPr>
              <w:t xml:space="preserve"> IRH, UNDP COs, </w:t>
            </w:r>
          </w:p>
        </w:tc>
      </w:tr>
      <w:tr w:rsidR="00027260" w14:paraId="3086609F" w14:textId="77777777" w:rsidTr="004707EE">
        <w:trPr>
          <w:trHeight w:val="171"/>
        </w:trPr>
        <w:tc>
          <w:tcPr>
            <w:tcW w:w="360" w:type="dxa"/>
            <w:vMerge/>
            <w:shd w:val="clear" w:color="auto" w:fill="auto"/>
            <w:tcMar>
              <w:top w:w="80" w:type="dxa"/>
              <w:left w:w="80" w:type="dxa"/>
              <w:bottom w:w="80" w:type="dxa"/>
              <w:right w:w="80" w:type="dxa"/>
            </w:tcMar>
          </w:tcPr>
          <w:p w14:paraId="7ED33887" w14:textId="77777777" w:rsidR="00027260" w:rsidRPr="0099743C" w:rsidRDefault="00027260" w:rsidP="0099743C">
            <w:pPr>
              <w:pBdr>
                <w:top w:val="nil"/>
                <w:left w:val="nil"/>
                <w:bottom w:val="nil"/>
                <w:right w:val="nil"/>
                <w:between w:val="nil"/>
              </w:pBdr>
              <w:jc w:val="both"/>
              <w:rPr>
                <w:rFonts w:ascii="Arial Narrow" w:eastAsia="Arial Narrow" w:hAnsi="Arial Narrow"/>
                <w:color w:val="000000"/>
                <w:sz w:val="18"/>
              </w:rPr>
            </w:pPr>
          </w:p>
        </w:tc>
        <w:tc>
          <w:tcPr>
            <w:tcW w:w="2070" w:type="dxa"/>
            <w:vMerge/>
            <w:shd w:val="clear" w:color="auto" w:fill="auto"/>
            <w:tcMar>
              <w:top w:w="80" w:type="dxa"/>
              <w:left w:w="80" w:type="dxa"/>
              <w:bottom w:w="80" w:type="dxa"/>
              <w:right w:w="80" w:type="dxa"/>
            </w:tcMar>
          </w:tcPr>
          <w:p w14:paraId="082C83D0" w14:textId="77777777" w:rsidR="00027260" w:rsidRPr="0099743C" w:rsidRDefault="00027260" w:rsidP="0099743C">
            <w:pPr>
              <w:pBdr>
                <w:top w:val="nil"/>
                <w:left w:val="nil"/>
                <w:bottom w:val="nil"/>
                <w:right w:val="nil"/>
                <w:between w:val="nil"/>
              </w:pBdr>
              <w:jc w:val="both"/>
              <w:rPr>
                <w:rFonts w:ascii="Arial Narrow" w:eastAsia="Arial Narrow" w:hAnsi="Arial Narrow"/>
                <w:color w:val="000000"/>
                <w:sz w:val="18"/>
              </w:rPr>
            </w:pPr>
          </w:p>
        </w:tc>
        <w:tc>
          <w:tcPr>
            <w:tcW w:w="2070" w:type="dxa"/>
            <w:vMerge/>
            <w:shd w:val="clear" w:color="auto" w:fill="auto"/>
            <w:tcMar>
              <w:top w:w="80" w:type="dxa"/>
              <w:left w:w="80" w:type="dxa"/>
              <w:bottom w:w="80" w:type="dxa"/>
              <w:right w:w="80" w:type="dxa"/>
            </w:tcMar>
          </w:tcPr>
          <w:p w14:paraId="2EC98447" w14:textId="77777777" w:rsidR="00027260" w:rsidRPr="0099743C" w:rsidRDefault="00027260" w:rsidP="0099743C">
            <w:pPr>
              <w:pBdr>
                <w:top w:val="nil"/>
                <w:left w:val="nil"/>
                <w:bottom w:val="nil"/>
                <w:right w:val="nil"/>
                <w:between w:val="nil"/>
              </w:pBdr>
              <w:jc w:val="both"/>
              <w:rPr>
                <w:rFonts w:ascii="Arial Narrow" w:eastAsia="Arial Narrow" w:hAnsi="Arial Narrow"/>
                <w:color w:val="000000"/>
                <w:sz w:val="18"/>
              </w:rPr>
            </w:pPr>
          </w:p>
        </w:tc>
        <w:tc>
          <w:tcPr>
            <w:tcW w:w="2160" w:type="dxa"/>
            <w:vMerge/>
            <w:shd w:val="clear" w:color="auto" w:fill="auto"/>
            <w:tcMar>
              <w:top w:w="80" w:type="dxa"/>
              <w:left w:w="80" w:type="dxa"/>
              <w:bottom w:w="80" w:type="dxa"/>
              <w:right w:w="80" w:type="dxa"/>
            </w:tcMar>
          </w:tcPr>
          <w:p w14:paraId="03E456BD" w14:textId="77777777" w:rsidR="00027260" w:rsidRPr="0083552F" w:rsidRDefault="00027260" w:rsidP="0099743C">
            <w:pPr>
              <w:pBdr>
                <w:top w:val="nil"/>
                <w:left w:val="nil"/>
                <w:bottom w:val="nil"/>
                <w:right w:val="nil"/>
                <w:between w:val="nil"/>
              </w:pBdr>
              <w:jc w:val="both"/>
              <w:rPr>
                <w:rFonts w:ascii="Arial Narrow" w:eastAsia="Arial Narrow" w:hAnsi="Arial Narrow"/>
                <w:color w:val="000000"/>
                <w:sz w:val="18"/>
              </w:rPr>
            </w:pPr>
          </w:p>
        </w:tc>
        <w:tc>
          <w:tcPr>
            <w:tcW w:w="1800" w:type="dxa"/>
            <w:vMerge/>
            <w:shd w:val="clear" w:color="auto" w:fill="auto"/>
            <w:tcMar>
              <w:top w:w="80" w:type="dxa"/>
              <w:left w:w="80" w:type="dxa"/>
              <w:bottom w:w="80" w:type="dxa"/>
              <w:right w:w="80" w:type="dxa"/>
            </w:tcMar>
          </w:tcPr>
          <w:p w14:paraId="69E033F3" w14:textId="77777777" w:rsidR="00027260" w:rsidRDefault="00027260" w:rsidP="0099743C">
            <w:pPr>
              <w:spacing w:beforeLines="60" w:before="144" w:afterLines="60" w:after="144"/>
              <w:contextualSpacing/>
              <w:rPr>
                <w:rFonts w:ascii="Arial Narrow" w:hAnsi="Arial Narrow"/>
                <w:b/>
                <w:sz w:val="20"/>
                <w:highlight w:val="lightGray"/>
              </w:rPr>
            </w:pPr>
          </w:p>
        </w:tc>
        <w:tc>
          <w:tcPr>
            <w:tcW w:w="1620" w:type="dxa"/>
            <w:vMerge/>
            <w:shd w:val="clear" w:color="auto" w:fill="auto"/>
            <w:tcMar>
              <w:top w:w="80" w:type="dxa"/>
              <w:left w:w="80" w:type="dxa"/>
              <w:bottom w:w="80" w:type="dxa"/>
              <w:right w:w="80" w:type="dxa"/>
            </w:tcMar>
          </w:tcPr>
          <w:p w14:paraId="5935E052" w14:textId="77777777" w:rsidR="00027260" w:rsidRPr="0099743C" w:rsidRDefault="00027260" w:rsidP="0099743C">
            <w:pPr>
              <w:spacing w:after="40"/>
              <w:rPr>
                <w:rFonts w:ascii="Arial Narrow" w:hAnsi="Arial Narrow"/>
                <w:sz w:val="20"/>
              </w:rPr>
            </w:pPr>
          </w:p>
        </w:tc>
        <w:tc>
          <w:tcPr>
            <w:tcW w:w="1440" w:type="dxa"/>
            <w:vMerge/>
            <w:shd w:val="clear" w:color="auto" w:fill="auto"/>
            <w:tcMar>
              <w:top w:w="80" w:type="dxa"/>
              <w:left w:w="80" w:type="dxa"/>
              <w:bottom w:w="80" w:type="dxa"/>
              <w:right w:w="80" w:type="dxa"/>
            </w:tcMar>
          </w:tcPr>
          <w:p w14:paraId="02EB8AFA" w14:textId="77777777" w:rsidR="00027260" w:rsidRPr="0099743C" w:rsidRDefault="00027260" w:rsidP="0099743C">
            <w:pPr>
              <w:spacing w:before="40" w:after="40"/>
              <w:contextualSpacing/>
              <w:rPr>
                <w:rFonts w:ascii="Arial Narrow" w:hAnsi="Arial Narrow"/>
                <w:sz w:val="20"/>
              </w:rPr>
            </w:pPr>
          </w:p>
        </w:tc>
        <w:tc>
          <w:tcPr>
            <w:tcW w:w="720" w:type="dxa"/>
            <w:vMerge/>
            <w:shd w:val="clear" w:color="auto" w:fill="auto"/>
            <w:tcMar>
              <w:top w:w="80" w:type="dxa"/>
              <w:left w:w="80" w:type="dxa"/>
              <w:bottom w:w="80" w:type="dxa"/>
              <w:right w:w="80" w:type="dxa"/>
            </w:tcMar>
          </w:tcPr>
          <w:p w14:paraId="213F3C7D" w14:textId="29C44230" w:rsidR="00027260" w:rsidRPr="0099743C" w:rsidRDefault="00027260" w:rsidP="0099743C">
            <w:pPr>
              <w:pBdr>
                <w:top w:val="nil"/>
                <w:left w:val="nil"/>
                <w:bottom w:val="nil"/>
                <w:right w:val="nil"/>
                <w:between w:val="nil"/>
              </w:pBdr>
              <w:jc w:val="both"/>
              <w:rPr>
                <w:rFonts w:ascii="Arial Narrow" w:eastAsia="Arial Narrow" w:hAnsi="Arial Narrow"/>
                <w:color w:val="000000"/>
                <w:sz w:val="18"/>
              </w:rPr>
            </w:pPr>
          </w:p>
        </w:tc>
        <w:tc>
          <w:tcPr>
            <w:tcW w:w="3600" w:type="dxa"/>
            <w:shd w:val="clear" w:color="auto" w:fill="auto"/>
            <w:tcMar>
              <w:top w:w="80" w:type="dxa"/>
              <w:left w:w="80" w:type="dxa"/>
              <w:bottom w:w="80" w:type="dxa"/>
              <w:right w:w="80" w:type="dxa"/>
            </w:tcMar>
          </w:tcPr>
          <w:p w14:paraId="627BC8DF" w14:textId="68AE1684" w:rsidR="00027260" w:rsidRPr="00636DA3" w:rsidRDefault="00027260" w:rsidP="00636DA3">
            <w:pPr>
              <w:pBdr>
                <w:top w:val="nil"/>
                <w:left w:val="nil"/>
                <w:bottom w:val="nil"/>
                <w:right w:val="nil"/>
                <w:between w:val="nil"/>
              </w:pBdr>
              <w:spacing w:after="60"/>
              <w:jc w:val="both"/>
              <w:rPr>
                <w:rFonts w:ascii="Arial Narrow" w:eastAsia="Arial Narrow" w:hAnsi="Arial Narrow"/>
                <w:color w:val="000000"/>
                <w:sz w:val="18"/>
                <w:lang w:bidi="en-US"/>
              </w:rPr>
            </w:pPr>
            <w:r>
              <w:rPr>
                <w:rFonts w:ascii="Arial Narrow" w:eastAsia="Arial Narrow" w:hAnsi="Arial Narrow"/>
                <w:color w:val="000000"/>
                <w:sz w:val="18"/>
                <w:lang w:val="en-GB"/>
              </w:rPr>
              <w:t xml:space="preserve">Risk Treatment 4: </w:t>
            </w:r>
            <w:r w:rsidRPr="00636DA3">
              <w:rPr>
                <w:rFonts w:ascii="Arial Narrow" w:eastAsia="Arial Narrow" w:hAnsi="Arial Narrow"/>
                <w:color w:val="000000"/>
                <w:sz w:val="18"/>
                <w:lang w:val="en-GB"/>
              </w:rPr>
              <w:t xml:space="preserve">UNDP and OSCE will act as neutral dialogue brokers </w:t>
            </w:r>
            <w:r>
              <w:rPr>
                <w:rFonts w:ascii="Arial Narrow" w:eastAsia="Arial Narrow" w:hAnsi="Arial Narrow"/>
                <w:color w:val="000000"/>
                <w:sz w:val="18"/>
                <w:lang w:val="en-GB"/>
              </w:rPr>
              <w:t xml:space="preserve">to build a dialogue between participating countries, actively promote benefits of the project, </w:t>
            </w:r>
            <w:r w:rsidRPr="00636DA3">
              <w:rPr>
                <w:rFonts w:ascii="Arial Narrow" w:eastAsia="Arial Narrow" w:hAnsi="Arial Narrow"/>
                <w:color w:val="000000"/>
                <w:sz w:val="18"/>
                <w:lang w:val="en-GB"/>
              </w:rPr>
              <w:t xml:space="preserve">and offer extensive technical expertise to </w:t>
            </w:r>
            <w:r w:rsidRPr="00636DA3">
              <w:rPr>
                <w:rFonts w:ascii="Arial Narrow" w:eastAsia="Arial Narrow" w:hAnsi="Arial Narrow"/>
                <w:color w:val="000000"/>
                <w:sz w:val="18"/>
                <w:lang w:val="en-GB"/>
              </w:rPr>
              <w:lastRenderedPageBreak/>
              <w:t>promote co-operation and build confidence of local governments and community members, building on the established dialogues and good practices within the Phase 1&amp;2.</w:t>
            </w:r>
          </w:p>
          <w:p w14:paraId="12004C93" w14:textId="3E88783E" w:rsidR="00027260" w:rsidRPr="0099743C" w:rsidRDefault="00027260" w:rsidP="0099743C">
            <w:pPr>
              <w:pBdr>
                <w:top w:val="nil"/>
                <w:left w:val="nil"/>
                <w:bottom w:val="nil"/>
                <w:right w:val="nil"/>
                <w:between w:val="nil"/>
              </w:pBdr>
              <w:spacing w:after="60"/>
              <w:jc w:val="both"/>
              <w:rPr>
                <w:rFonts w:ascii="Arial Narrow" w:eastAsia="Arial Narrow" w:hAnsi="Arial Narrow"/>
                <w:color w:val="000000"/>
                <w:sz w:val="18"/>
              </w:rPr>
            </w:pPr>
            <w:r w:rsidRPr="0099743C">
              <w:rPr>
                <w:rFonts w:ascii="Arial Narrow" w:eastAsia="Arial Narrow" w:hAnsi="Arial Narrow"/>
                <w:color w:val="000000"/>
                <w:sz w:val="18"/>
              </w:rPr>
              <w:t>Risk Treatment Owner:</w:t>
            </w:r>
            <w:r>
              <w:rPr>
                <w:rFonts w:ascii="Arial Narrow" w:eastAsia="Arial Narrow" w:hAnsi="Arial Narrow"/>
                <w:color w:val="000000"/>
                <w:sz w:val="18"/>
              </w:rPr>
              <w:t xml:space="preserve"> IRH, UNDP COs, OSCE</w:t>
            </w:r>
          </w:p>
        </w:tc>
      </w:tr>
      <w:tr w:rsidR="00027260" w14:paraId="1DE1FE7F" w14:textId="77777777" w:rsidTr="004707EE">
        <w:trPr>
          <w:trHeight w:val="171"/>
        </w:trPr>
        <w:tc>
          <w:tcPr>
            <w:tcW w:w="360" w:type="dxa"/>
            <w:vMerge/>
            <w:shd w:val="clear" w:color="auto" w:fill="auto"/>
            <w:tcMar>
              <w:top w:w="80" w:type="dxa"/>
              <w:left w:w="80" w:type="dxa"/>
              <w:bottom w:w="80" w:type="dxa"/>
              <w:right w:w="80" w:type="dxa"/>
            </w:tcMar>
          </w:tcPr>
          <w:p w14:paraId="2708F4BA" w14:textId="77777777" w:rsidR="00027260" w:rsidRPr="0099743C" w:rsidRDefault="00027260" w:rsidP="0099743C">
            <w:pPr>
              <w:pBdr>
                <w:top w:val="nil"/>
                <w:left w:val="nil"/>
                <w:bottom w:val="nil"/>
                <w:right w:val="nil"/>
                <w:between w:val="nil"/>
              </w:pBdr>
              <w:jc w:val="both"/>
              <w:rPr>
                <w:rFonts w:ascii="Arial Narrow" w:eastAsia="Arial Narrow" w:hAnsi="Arial Narrow"/>
                <w:color w:val="000000"/>
                <w:sz w:val="18"/>
              </w:rPr>
            </w:pPr>
          </w:p>
        </w:tc>
        <w:tc>
          <w:tcPr>
            <w:tcW w:w="2070" w:type="dxa"/>
            <w:vMerge/>
            <w:shd w:val="clear" w:color="auto" w:fill="auto"/>
            <w:tcMar>
              <w:top w:w="80" w:type="dxa"/>
              <w:left w:w="80" w:type="dxa"/>
              <w:bottom w:w="80" w:type="dxa"/>
              <w:right w:w="80" w:type="dxa"/>
            </w:tcMar>
          </w:tcPr>
          <w:p w14:paraId="1DA14788" w14:textId="77777777" w:rsidR="00027260" w:rsidRPr="0099743C" w:rsidRDefault="00027260" w:rsidP="0099743C">
            <w:pPr>
              <w:pBdr>
                <w:top w:val="nil"/>
                <w:left w:val="nil"/>
                <w:bottom w:val="nil"/>
                <w:right w:val="nil"/>
                <w:between w:val="nil"/>
              </w:pBdr>
              <w:jc w:val="both"/>
              <w:rPr>
                <w:rFonts w:ascii="Arial Narrow" w:eastAsia="Arial Narrow" w:hAnsi="Arial Narrow"/>
                <w:color w:val="000000"/>
                <w:sz w:val="18"/>
              </w:rPr>
            </w:pPr>
          </w:p>
        </w:tc>
        <w:tc>
          <w:tcPr>
            <w:tcW w:w="2070" w:type="dxa"/>
            <w:vMerge/>
            <w:shd w:val="clear" w:color="auto" w:fill="auto"/>
            <w:tcMar>
              <w:top w:w="80" w:type="dxa"/>
              <w:left w:w="80" w:type="dxa"/>
              <w:bottom w:w="80" w:type="dxa"/>
              <w:right w:w="80" w:type="dxa"/>
            </w:tcMar>
          </w:tcPr>
          <w:p w14:paraId="4F41FC94" w14:textId="77777777" w:rsidR="00027260" w:rsidRPr="0099743C" w:rsidRDefault="00027260" w:rsidP="0099743C">
            <w:pPr>
              <w:pBdr>
                <w:top w:val="nil"/>
                <w:left w:val="nil"/>
                <w:bottom w:val="nil"/>
                <w:right w:val="nil"/>
                <w:between w:val="nil"/>
              </w:pBdr>
              <w:jc w:val="both"/>
              <w:rPr>
                <w:rFonts w:ascii="Arial Narrow" w:eastAsia="Arial Narrow" w:hAnsi="Arial Narrow"/>
                <w:color w:val="000000"/>
                <w:sz w:val="18"/>
              </w:rPr>
            </w:pPr>
          </w:p>
        </w:tc>
        <w:tc>
          <w:tcPr>
            <w:tcW w:w="2160" w:type="dxa"/>
            <w:vMerge/>
            <w:shd w:val="clear" w:color="auto" w:fill="auto"/>
            <w:tcMar>
              <w:top w:w="80" w:type="dxa"/>
              <w:left w:w="80" w:type="dxa"/>
              <w:bottom w:w="80" w:type="dxa"/>
              <w:right w:w="80" w:type="dxa"/>
            </w:tcMar>
          </w:tcPr>
          <w:p w14:paraId="3183A13E" w14:textId="77777777" w:rsidR="00027260" w:rsidRPr="0083552F" w:rsidRDefault="00027260" w:rsidP="0099743C">
            <w:pPr>
              <w:pBdr>
                <w:top w:val="nil"/>
                <w:left w:val="nil"/>
                <w:bottom w:val="nil"/>
                <w:right w:val="nil"/>
                <w:between w:val="nil"/>
              </w:pBdr>
              <w:jc w:val="both"/>
              <w:rPr>
                <w:rFonts w:ascii="Arial Narrow" w:eastAsia="Arial Narrow" w:hAnsi="Arial Narrow"/>
                <w:color w:val="000000"/>
                <w:sz w:val="18"/>
              </w:rPr>
            </w:pPr>
          </w:p>
        </w:tc>
        <w:tc>
          <w:tcPr>
            <w:tcW w:w="1800" w:type="dxa"/>
            <w:vMerge/>
            <w:shd w:val="clear" w:color="auto" w:fill="auto"/>
            <w:tcMar>
              <w:top w:w="80" w:type="dxa"/>
              <w:left w:w="80" w:type="dxa"/>
              <w:bottom w:w="80" w:type="dxa"/>
              <w:right w:w="80" w:type="dxa"/>
            </w:tcMar>
          </w:tcPr>
          <w:p w14:paraId="21CD9B72" w14:textId="77777777" w:rsidR="00027260" w:rsidRDefault="00027260" w:rsidP="0099743C">
            <w:pPr>
              <w:spacing w:beforeLines="60" w:before="144" w:afterLines="60" w:after="144"/>
              <w:contextualSpacing/>
              <w:rPr>
                <w:rFonts w:ascii="Arial Narrow" w:hAnsi="Arial Narrow"/>
                <w:b/>
                <w:sz w:val="20"/>
                <w:highlight w:val="lightGray"/>
              </w:rPr>
            </w:pPr>
          </w:p>
        </w:tc>
        <w:tc>
          <w:tcPr>
            <w:tcW w:w="1620" w:type="dxa"/>
            <w:vMerge/>
            <w:shd w:val="clear" w:color="auto" w:fill="auto"/>
            <w:tcMar>
              <w:top w:w="80" w:type="dxa"/>
              <w:left w:w="80" w:type="dxa"/>
              <w:bottom w:w="80" w:type="dxa"/>
              <w:right w:w="80" w:type="dxa"/>
            </w:tcMar>
          </w:tcPr>
          <w:p w14:paraId="67D128AC" w14:textId="77777777" w:rsidR="00027260" w:rsidRPr="0099743C" w:rsidRDefault="00027260" w:rsidP="0099743C">
            <w:pPr>
              <w:spacing w:after="40"/>
              <w:rPr>
                <w:rFonts w:ascii="Arial Narrow" w:hAnsi="Arial Narrow"/>
                <w:sz w:val="20"/>
              </w:rPr>
            </w:pPr>
          </w:p>
        </w:tc>
        <w:tc>
          <w:tcPr>
            <w:tcW w:w="1440" w:type="dxa"/>
            <w:vMerge/>
            <w:shd w:val="clear" w:color="auto" w:fill="auto"/>
            <w:tcMar>
              <w:top w:w="80" w:type="dxa"/>
              <w:left w:w="80" w:type="dxa"/>
              <w:bottom w:w="80" w:type="dxa"/>
              <w:right w:w="80" w:type="dxa"/>
            </w:tcMar>
          </w:tcPr>
          <w:p w14:paraId="5E123A88" w14:textId="77777777" w:rsidR="00027260" w:rsidRPr="0099743C" w:rsidRDefault="00027260" w:rsidP="0099743C">
            <w:pPr>
              <w:spacing w:before="40" w:after="40"/>
              <w:contextualSpacing/>
              <w:rPr>
                <w:rFonts w:ascii="Arial Narrow" w:hAnsi="Arial Narrow"/>
                <w:sz w:val="20"/>
              </w:rPr>
            </w:pPr>
          </w:p>
        </w:tc>
        <w:tc>
          <w:tcPr>
            <w:tcW w:w="720" w:type="dxa"/>
            <w:vMerge/>
            <w:shd w:val="clear" w:color="auto" w:fill="auto"/>
            <w:tcMar>
              <w:top w:w="80" w:type="dxa"/>
              <w:left w:w="80" w:type="dxa"/>
              <w:bottom w:w="80" w:type="dxa"/>
              <w:right w:w="80" w:type="dxa"/>
            </w:tcMar>
          </w:tcPr>
          <w:p w14:paraId="7C5C4A65" w14:textId="692BF2B1" w:rsidR="00027260" w:rsidRPr="0099743C" w:rsidRDefault="00027260" w:rsidP="0099743C">
            <w:pPr>
              <w:pBdr>
                <w:top w:val="nil"/>
                <w:left w:val="nil"/>
                <w:bottom w:val="nil"/>
                <w:right w:val="nil"/>
                <w:between w:val="nil"/>
              </w:pBdr>
              <w:jc w:val="both"/>
              <w:rPr>
                <w:rFonts w:ascii="Arial Narrow" w:eastAsia="Arial Narrow" w:hAnsi="Arial Narrow"/>
                <w:color w:val="000000"/>
                <w:sz w:val="18"/>
              </w:rPr>
            </w:pPr>
          </w:p>
        </w:tc>
        <w:tc>
          <w:tcPr>
            <w:tcW w:w="3600" w:type="dxa"/>
            <w:shd w:val="clear" w:color="auto" w:fill="auto"/>
            <w:tcMar>
              <w:top w:w="80" w:type="dxa"/>
              <w:left w:w="80" w:type="dxa"/>
              <w:bottom w:w="80" w:type="dxa"/>
              <w:right w:w="80" w:type="dxa"/>
            </w:tcMar>
          </w:tcPr>
          <w:p w14:paraId="2516DC48" w14:textId="522E7F98" w:rsidR="00027260" w:rsidRPr="007F2F38" w:rsidRDefault="00027260" w:rsidP="007F2F38">
            <w:pPr>
              <w:pBdr>
                <w:top w:val="nil"/>
                <w:left w:val="nil"/>
                <w:bottom w:val="nil"/>
                <w:right w:val="nil"/>
                <w:between w:val="nil"/>
              </w:pBdr>
              <w:spacing w:after="60"/>
              <w:jc w:val="both"/>
              <w:rPr>
                <w:rFonts w:ascii="Arial Narrow" w:eastAsia="Arial Narrow" w:hAnsi="Arial Narrow"/>
                <w:color w:val="000000"/>
                <w:sz w:val="18"/>
                <w:lang w:bidi="en-US"/>
              </w:rPr>
            </w:pPr>
            <w:r>
              <w:rPr>
                <w:rFonts w:ascii="Arial Narrow" w:eastAsia="Arial Narrow" w:hAnsi="Arial Narrow"/>
                <w:iCs/>
                <w:color w:val="000000"/>
                <w:sz w:val="18"/>
                <w:lang w:bidi="en-US"/>
              </w:rPr>
              <w:t xml:space="preserve">Risk Treatment 2.5: </w:t>
            </w:r>
            <w:r w:rsidRPr="007F2F38">
              <w:rPr>
                <w:rFonts w:ascii="Arial Narrow" w:eastAsia="Arial Narrow" w:hAnsi="Arial Narrow"/>
                <w:iCs/>
                <w:color w:val="000000"/>
                <w:sz w:val="18"/>
                <w:lang w:bidi="en-US"/>
              </w:rPr>
              <w:t xml:space="preserve">While developing grants processes for tailored community solutions, the project will integrate accountability measures making sure that stakeholders are fully engaged, and a grievance mechanism is in place. </w:t>
            </w:r>
          </w:p>
          <w:p w14:paraId="7B9F0078" w14:textId="6A5EA972" w:rsidR="00027260" w:rsidRPr="0099743C" w:rsidRDefault="00027260" w:rsidP="0099743C">
            <w:pPr>
              <w:pBdr>
                <w:top w:val="nil"/>
                <w:left w:val="nil"/>
                <w:bottom w:val="nil"/>
                <w:right w:val="nil"/>
                <w:between w:val="nil"/>
              </w:pBdr>
              <w:spacing w:after="60"/>
              <w:jc w:val="both"/>
              <w:rPr>
                <w:rFonts w:ascii="Arial Narrow" w:eastAsia="Arial Narrow" w:hAnsi="Arial Narrow"/>
                <w:color w:val="000000"/>
                <w:sz w:val="18"/>
              </w:rPr>
            </w:pPr>
            <w:r w:rsidRPr="0099743C">
              <w:rPr>
                <w:rFonts w:ascii="Arial Narrow" w:eastAsia="Arial Narrow" w:hAnsi="Arial Narrow"/>
                <w:color w:val="000000"/>
                <w:sz w:val="18"/>
              </w:rPr>
              <w:t>Risk Treatment Owner:</w:t>
            </w:r>
            <w:r>
              <w:rPr>
                <w:rFonts w:ascii="Arial Narrow" w:eastAsia="Arial Narrow" w:hAnsi="Arial Narrow"/>
                <w:color w:val="000000"/>
                <w:sz w:val="18"/>
              </w:rPr>
              <w:t xml:space="preserve"> IRH, UNDP COs</w:t>
            </w:r>
          </w:p>
        </w:tc>
      </w:tr>
      <w:tr w:rsidR="0083552F" w14:paraId="6C1F1A31" w14:textId="77777777" w:rsidTr="004707EE">
        <w:trPr>
          <w:trHeight w:val="189"/>
        </w:trPr>
        <w:tc>
          <w:tcPr>
            <w:tcW w:w="360" w:type="dxa"/>
            <w:vMerge w:val="restart"/>
            <w:shd w:val="clear" w:color="auto" w:fill="auto"/>
            <w:tcMar>
              <w:top w:w="80" w:type="dxa"/>
              <w:left w:w="80" w:type="dxa"/>
              <w:bottom w:w="80" w:type="dxa"/>
              <w:right w:w="80" w:type="dxa"/>
            </w:tcMar>
          </w:tcPr>
          <w:p w14:paraId="6C1F1A1D" w14:textId="0F7ABB16" w:rsidR="0083552F" w:rsidRPr="0099743C" w:rsidRDefault="00027260" w:rsidP="0099743C">
            <w:pPr>
              <w:pBdr>
                <w:top w:val="nil"/>
                <w:left w:val="nil"/>
                <w:bottom w:val="nil"/>
                <w:right w:val="nil"/>
                <w:between w:val="nil"/>
              </w:pBdr>
              <w:jc w:val="both"/>
              <w:rPr>
                <w:rFonts w:ascii="Century Gothic" w:eastAsia="Century Gothic" w:hAnsi="Century Gothic"/>
                <w:color w:val="000000"/>
                <w:sz w:val="18"/>
              </w:rPr>
            </w:pPr>
            <w:r>
              <w:rPr>
                <w:rFonts w:ascii="Arial Narrow" w:eastAsia="Arial Narrow" w:hAnsi="Arial Narrow"/>
                <w:color w:val="000000"/>
                <w:sz w:val="18"/>
              </w:rPr>
              <w:t>2</w:t>
            </w:r>
          </w:p>
        </w:tc>
        <w:tc>
          <w:tcPr>
            <w:tcW w:w="2070" w:type="dxa"/>
            <w:vMerge w:val="restart"/>
            <w:shd w:val="clear" w:color="auto" w:fill="auto"/>
            <w:tcMar>
              <w:top w:w="80" w:type="dxa"/>
              <w:left w:w="80" w:type="dxa"/>
              <w:bottom w:w="80" w:type="dxa"/>
              <w:right w:w="80" w:type="dxa"/>
            </w:tcMar>
          </w:tcPr>
          <w:p w14:paraId="6C1F1A1E" w14:textId="32893DD7" w:rsidR="0083552F" w:rsidRPr="0099743C" w:rsidRDefault="0083552F" w:rsidP="0099743C">
            <w:pPr>
              <w:pBdr>
                <w:top w:val="nil"/>
                <w:left w:val="nil"/>
                <w:bottom w:val="nil"/>
                <w:right w:val="nil"/>
                <w:between w:val="nil"/>
              </w:pBdr>
              <w:jc w:val="both"/>
              <w:rPr>
                <w:rFonts w:ascii="Century Gothic" w:eastAsia="Century Gothic" w:hAnsi="Century Gothic"/>
                <w:color w:val="000000"/>
                <w:sz w:val="18"/>
              </w:rPr>
            </w:pPr>
            <w:r w:rsidRPr="0099743C">
              <w:rPr>
                <w:rFonts w:ascii="Arial Narrow" w:eastAsia="Arial Narrow" w:hAnsi="Arial Narrow"/>
                <w:color w:val="000000"/>
                <w:sz w:val="18"/>
              </w:rPr>
              <w:t xml:space="preserve">There is a risk that </w:t>
            </w:r>
            <w:r>
              <w:rPr>
                <w:rFonts w:ascii="Arial Narrow" w:eastAsia="Arial Narrow" w:hAnsi="Arial Narrow"/>
                <w:color w:val="000000"/>
                <w:sz w:val="18"/>
                <w:lang w:bidi="en-US"/>
              </w:rPr>
              <w:t>p</w:t>
            </w:r>
            <w:r w:rsidRPr="0083552F">
              <w:rPr>
                <w:rFonts w:ascii="Arial Narrow" w:eastAsia="Arial Narrow" w:hAnsi="Arial Narrow"/>
                <w:color w:val="000000"/>
                <w:sz w:val="18"/>
                <w:lang w:bidi="en-US"/>
              </w:rPr>
              <w:t>otential outcomes of the project can be sensitive to the impacts of climate change</w:t>
            </w:r>
            <w:r w:rsidR="00536031">
              <w:rPr>
                <w:rFonts w:ascii="Arial Narrow" w:eastAsia="Arial Narrow" w:hAnsi="Arial Narrow"/>
                <w:color w:val="000000"/>
                <w:sz w:val="18"/>
                <w:lang w:bidi="en-US"/>
              </w:rPr>
              <w:t>.</w:t>
            </w:r>
          </w:p>
        </w:tc>
        <w:tc>
          <w:tcPr>
            <w:tcW w:w="2070" w:type="dxa"/>
            <w:vMerge w:val="restart"/>
            <w:shd w:val="clear" w:color="auto" w:fill="auto"/>
            <w:tcMar>
              <w:top w:w="80" w:type="dxa"/>
              <w:left w:w="80" w:type="dxa"/>
              <w:bottom w:w="80" w:type="dxa"/>
              <w:right w:w="80" w:type="dxa"/>
            </w:tcMar>
          </w:tcPr>
          <w:p w14:paraId="6C1F1A1F" w14:textId="561624D7" w:rsidR="0083552F" w:rsidRPr="0099743C" w:rsidRDefault="0083552F" w:rsidP="0099743C">
            <w:pPr>
              <w:pBdr>
                <w:top w:val="nil"/>
                <w:left w:val="nil"/>
                <w:bottom w:val="nil"/>
                <w:right w:val="nil"/>
                <w:between w:val="nil"/>
              </w:pBdr>
              <w:jc w:val="both"/>
              <w:rPr>
                <w:rFonts w:ascii="Century Gothic" w:eastAsia="Century Gothic" w:hAnsi="Century Gothic"/>
                <w:color w:val="000000"/>
                <w:sz w:val="18"/>
              </w:rPr>
            </w:pPr>
            <w:r w:rsidRPr="0099743C">
              <w:rPr>
                <w:rFonts w:ascii="Arial Narrow" w:eastAsia="Arial Narrow" w:hAnsi="Arial Narrow"/>
                <w:color w:val="000000"/>
                <w:sz w:val="18"/>
              </w:rPr>
              <w:t>As a result of</w:t>
            </w:r>
            <w:r>
              <w:rPr>
                <w:rFonts w:ascii="Arial Narrow" w:eastAsia="Arial Narrow" w:hAnsi="Arial Narrow"/>
                <w:color w:val="000000"/>
                <w:sz w:val="18"/>
              </w:rPr>
              <w:t xml:space="preserve"> extreme climate conditions (e.g. flooding, droughts)</w:t>
            </w:r>
            <w:r w:rsidR="00536031">
              <w:rPr>
                <w:rFonts w:ascii="Arial Narrow" w:eastAsia="Arial Narrow" w:hAnsi="Arial Narrow"/>
                <w:color w:val="000000"/>
                <w:sz w:val="18"/>
              </w:rPr>
              <w:t>.</w:t>
            </w:r>
          </w:p>
        </w:tc>
        <w:tc>
          <w:tcPr>
            <w:tcW w:w="2160" w:type="dxa"/>
            <w:vMerge w:val="restart"/>
            <w:shd w:val="clear" w:color="auto" w:fill="auto"/>
            <w:tcMar>
              <w:top w:w="80" w:type="dxa"/>
              <w:left w:w="80" w:type="dxa"/>
              <w:bottom w:w="80" w:type="dxa"/>
              <w:right w:w="80" w:type="dxa"/>
            </w:tcMar>
          </w:tcPr>
          <w:p w14:paraId="6C1F1A20" w14:textId="10F790E2" w:rsidR="0083552F" w:rsidRPr="0099743C" w:rsidRDefault="0083552F" w:rsidP="0099743C">
            <w:pPr>
              <w:pBdr>
                <w:top w:val="nil"/>
                <w:left w:val="nil"/>
                <w:bottom w:val="nil"/>
                <w:right w:val="nil"/>
                <w:between w:val="nil"/>
              </w:pBdr>
              <w:jc w:val="both"/>
              <w:rPr>
                <w:rFonts w:ascii="Century Gothic" w:eastAsia="Century Gothic" w:hAnsi="Century Gothic"/>
                <w:color w:val="000000"/>
                <w:sz w:val="18"/>
              </w:rPr>
            </w:pPr>
            <w:r w:rsidRPr="0099743C">
              <w:rPr>
                <w:rFonts w:ascii="Arial Narrow" w:eastAsia="Arial Narrow" w:hAnsi="Arial Narrow"/>
                <w:color w:val="000000"/>
                <w:sz w:val="18"/>
              </w:rPr>
              <w:t xml:space="preserve">Which will </w:t>
            </w:r>
            <w:r w:rsidRPr="0083552F">
              <w:rPr>
                <w:rFonts w:ascii="Arial Narrow" w:eastAsia="Arial Narrow" w:hAnsi="Arial Narrow"/>
                <w:color w:val="000000"/>
                <w:sz w:val="18"/>
                <w:lang w:bidi="en-US"/>
              </w:rPr>
              <w:t>compound radiological risks</w:t>
            </w:r>
            <w:r w:rsidRPr="0099743C">
              <w:rPr>
                <w:rFonts w:ascii="Arial Narrow" w:eastAsia="Arial Narrow" w:hAnsi="Arial Narrow"/>
                <w:color w:val="000000"/>
                <w:sz w:val="18"/>
              </w:rPr>
              <w:t xml:space="preserve"> </w:t>
            </w:r>
            <w:r>
              <w:rPr>
                <w:rFonts w:ascii="Arial Narrow" w:eastAsia="Arial Narrow" w:hAnsi="Arial Narrow"/>
                <w:color w:val="000000"/>
                <w:sz w:val="18"/>
              </w:rPr>
              <w:t xml:space="preserve">and </w:t>
            </w:r>
            <w:r w:rsidRPr="0099743C">
              <w:rPr>
                <w:rFonts w:ascii="Arial Narrow" w:eastAsia="Arial Narrow" w:hAnsi="Arial Narrow"/>
                <w:color w:val="000000"/>
                <w:sz w:val="18"/>
              </w:rPr>
              <w:t xml:space="preserve">impact </w:t>
            </w:r>
            <w:r w:rsidRPr="0083552F">
              <w:rPr>
                <w:rFonts w:ascii="Arial Narrow" w:eastAsia="Arial Narrow" w:hAnsi="Arial Narrow"/>
                <w:color w:val="000000"/>
                <w:sz w:val="18"/>
                <w:lang w:bidi="en-US"/>
              </w:rPr>
              <w:t>social and environmental sustainability</w:t>
            </w:r>
            <w:r>
              <w:rPr>
                <w:rFonts w:ascii="Arial Narrow" w:eastAsia="Arial Narrow" w:hAnsi="Arial Narrow"/>
                <w:color w:val="000000"/>
                <w:sz w:val="18"/>
                <w:lang w:bidi="en-US"/>
              </w:rPr>
              <w:t xml:space="preserve"> of planned project interventions.</w:t>
            </w:r>
          </w:p>
        </w:tc>
        <w:tc>
          <w:tcPr>
            <w:tcW w:w="1800" w:type="dxa"/>
            <w:vMerge w:val="restart"/>
            <w:shd w:val="clear" w:color="auto" w:fill="auto"/>
            <w:tcMar>
              <w:top w:w="80" w:type="dxa"/>
              <w:left w:w="80" w:type="dxa"/>
              <w:bottom w:w="80" w:type="dxa"/>
              <w:right w:w="80" w:type="dxa"/>
            </w:tcMar>
          </w:tcPr>
          <w:sdt>
            <w:sdtPr>
              <w:rPr>
                <w:rFonts w:ascii="Arial Narrow" w:hAnsi="Arial Narrow"/>
                <w:b/>
                <w:bCs/>
                <w:sz w:val="20"/>
                <w:szCs w:val="20"/>
                <w:highlight w:val="lightGray"/>
              </w:rPr>
              <w:alias w:val="Select Risk Categories and Sub-categories"/>
              <w:tag w:val="Select Risk Categories and Sub-categories"/>
              <w:id w:val="-4586877"/>
              <w:placeholder>
                <w:docPart w:val="3B103E7E28C40E40BB29964BB769E26C"/>
              </w:placeholder>
              <w:dropDownList>
                <w:listItem w:displayText="PLEASE SELECT" w:value="PLEASE SELECT"/>
                <w:listItem w:displayText="1. SOCIAL AND ENVIRONMENTAL (1.1. Human rights) - UNDP Risk Appetite: CAUTIOUS" w:value="1. SOCIAL AND ENVIRONMENTAL (1.1. Human rights) - UNDP Risk Appetite: CAUTIOUS"/>
                <w:listItem w:displayText="1. SOCIAL AND ENVIRONMENTAL (1.2. Gender equality and women’s empowerment) - UNDP Risk Appetite: CAUTIOUS" w:value="1. SOCIAL AND ENVIRONMENTAL (1.2. Gender equality and women’s empowerment) - UNDP Risk Appetite: CAUTIOUS"/>
                <w:listItem w:displayText="1. SOCIAL AND ENVIRONMENTAL (1.3. Grievances (Accountability to stakeholders)) - UNDP Risk Appetite: CAUTIOUS" w:value="1. SOCIAL AND ENVIRONMENTAL (1.3. Grievances (Accountability to stakeholders)) - UNDP Risk Appetite: CAUTIOUS"/>
                <w:listItem w:displayText="1. SOCIAL AND ENVIRONMENTAL (1.4. Biodiversity conservation and sustainable natural resource management) - UNDP Risk Appetite: CAUTIOUS" w:value="1. SOCIAL AND ENVIRONMENTAL (1.4. Biodiversity conservation and sustainable natural resource management) - UNDP Risk Appetite: CAUTIOUS"/>
                <w:listItem w:displayText="1. SOCIAL AND ENVIRONMENTAL (1.5. Climate change and disaster risks) - UNDP Risk Appetite: CAUTIOUS" w:value="1. SOCIAL AND ENVIRONMENTAL (1.5. Climate change and disaster risks) - UNDP Risk Appetite: CAUTIOUS"/>
                <w:listItem w:displayText="1. SOCIAL AND ENVIRONMENTAL (1.6. Community health, safety and security) - UNDP Risk Appetite: CAUTIOUS" w:value="1. SOCIAL AND ENVIRONMENTAL (1.6. Community health, safety and security) - UNDP Risk Appetite: CAUTIOUS"/>
                <w:listItem w:displayText="1. SOCIAL AND ENVIRONMENTAL (1.7. Cultural heritage) - UNDP Risk Appetite: CAUTIOUS" w:value="1. SOCIAL AND ENVIRONMENTAL (1.7. Cultural heritage) - UNDP Risk Appetite: CAUTIOUS"/>
                <w:listItem w:displayText="1. SOCIAL AND ENVIRONMENTAL (1.8. Displacement and resettlement) - UNDP Risk Appetite: CAUTIOUS" w:value="1. SOCIAL AND ENVIRONMENTAL (1.8. Displacement and resettlement) - UNDP Risk Appetite: CAUTIOUS"/>
                <w:listItem w:displayText="1. SOCIAL AND ENVIRONMENTAL (1.9. Indigenous peoples) - UNDP Risk Appetite: CAUTIOUS" w:value="1. SOCIAL AND ENVIRONMENTAL (1.9. Indigenous peoples) - UNDP Risk Appetite: CAUTIOUS"/>
                <w:listItem w:displayText="1. SOCIAL AND ENVIRONMENTAL (1.10. Labour and working conditions) - UNDP Risk Appetite: CAUTIOUS" w:value="1. SOCIAL AND ENVIRONMENTAL (1.10. Labour and working conditions) - UNDP Risk Appetite: CAUTIOUS"/>
                <w:listItem w:displayText="1. SOCIAL AND ENVIRONMENTAL (1.11. Pollution prevention and resource efficiency) - UNDP Risk Appetite: CAUTIOUS" w:value="1. SOCIAL AND ENVIRONMENTAL (1.11. Pollution prevention and resource efficiency) - UNDP Risk Appetite: CAUTIOUS"/>
                <w:listItem w:displayText="1. SOCIAL AND ENVIRONMENTAL (1.12. Stakeholder engagement) - UNDP Risk Appetite: CAUTIOUS" w:value="1. SOCIAL AND ENVIRONMENTAL (1.12. Stakeholder engagement) - UNDP Risk Appetite: CAUTIOUS"/>
                <w:listItem w:displayText="1. SOCIAL AND ENVIRONMENTAL (1.13. Sexual exploitation and abuse) - UNDP Risk Appetite: CAUTIOUS" w:value="1. SOCIAL AND ENVIRONMENTAL (1.13. Sexual exploitation and abuse) - UNDP Risk Appetite: CAUTIOUS"/>
                <w:listItem w:displayText="2. FINANCIAL (2.1. Cost recovery) - UNDP Risk Appetite: MINIMAL TO CAUTIOUS" w:value="2. FINANCIAL (2.1. Cost recovery) - UNDP Risk Appetite: MINIMAL TO CAUTIOUS"/>
                <w:listItem w:displayText="2. FINANCIAL (2.2. Value for money) - UNDP Risk Appetite: MINIMAL TO CAUTIOUS" w:value="2. FINANCIAL (2.2. Value for money) - UNDP Risk Appetite: MINIMAL TO CAUTIOUS"/>
                <w:listItem w:displayText="2. FINANCIAL (2.3. Corruption and fraud) - UNDP Risk Appetite: MINIMAL TO CAUTIOUS" w:value="2. FINANCIAL (2.3. Corruption and fraud) - UNDP Risk Appetite: MINIMAL TO CAUTIOUS"/>
                <w:listItem w:displayText="2. FINANCIAL (2.4. Fluctuation in credit rate, market, currency) - UNDP Risk Appetite: MINIMAL TO CAUTIOUS" w:value="2. FINANCIAL (2.4. Fluctuation in credit rate, market, currency) - UNDP Risk Appetite: MINIMAL TO CAUTIOUS"/>
                <w:listItem w:displayText="2. FINANCIAL (2.5. Delivery) - UNDP Risk Appetite: MINIMAL TO CAUTIOUS" w:value="2. FINANCIAL (2.5. Delivery) - UNDP Risk Appetite: MINIMAL TO CAUTIOUS"/>
                <w:listItem w:displayText="2. FINANCIAL (2.6. Budget availability and cash flow) - UNDP Risk Appetite: MINIMAL TO CAUTIOUS" w:value="2. FINANCIAL (2.6. Budget availability and cash flow) - UNDP Risk Appetite: MINIMAL TO CAUTIOUS"/>
                <w:listItem w:displayText="3. OPERATIONAL (3.1. Responsiveness to audit and evaluations (Delays in the conduct of and implementation of recommendations)) - UNDP Risk Appetite: EXPLORATORY TO OPEN" w:value="3. OPERATIONAL (3.1. Responsiveness to audit and evaluations (Delays in the conduct of and implementation of recommendations)) - UNDP Risk Appetite: EXPLORATORY TO OPEN"/>
                <w:listItem w:displayText="3. OPERATIONAL (3.2. Leadership and management) - UNDP Risk Appetite: EXPLORATORY TO OPEN" w:value="3. OPERATIONAL (3.2. Leadership and management) - UNDP Risk Appetite: EXPLORATORY TO OPEN"/>
                <w:listItem w:displayText="3. OPERATIONAL (3.3. Flexibility and opportunity management) - UNDP Risk Appetite: EXPLORATORY TO OPEN" w:value="3. OPERATIONAL (3.3. Flexibility and opportunity management) - UNDP Risk Appetite: EXPLORATORY TO OPEN"/>
                <w:listItem w:displayText="3. OPERATIONAL (3.4. Reporting and communication) - UNDP Risk Appetite: EXPLORATORY TO OPEN" w:value="3. OPERATIONAL (3.4. Reporting and communication) - UNDP Risk Appetite: EXPLORATORY TO OPEN"/>
                <w:listItem w:displayText="3. OPERATIONAL (3.5. Partners’ engagement) - UNDP Risk Appetite: EXPLORATORY TO OPEN" w:value="3. OPERATIONAL (3.5. Partners’ engagement) - UNDP Risk Appetite: EXPLORATORY TO OPEN"/>
                <w:listItem w:displayText="3. OPERATIONAL (3.6. Transition and exit strategy) - UNDP Risk Appetite: EXPLORATORY TO OPEN" w:value="3. OPERATIONAL (3.6. Transition and exit strategy) - UNDP Risk Appetite: EXPLORATORY TO OPEN"/>
                <w:listItem w:displayText="3. OPERATIONAL (3.7. Occupational safety, health and well-being) - UNDP Risk Appetite: EXPLORATORY TO OPEN" w:value="3. OPERATIONAL (3.7. Occupational safety, health and well-being) - UNDP Risk Appetite: EXPLORATORY TO OPEN"/>
                <w:listItem w:displayText="3. OPERATIONAL (3.8. Capacities of the partners) - UNDP Risk Appetite: EXPLORATORY TO OPEN" w:value="3. OPERATIONAL (3.8. Capacities of the partners) - UNDP Risk Appetite: EXPLORATORY TO OPEN"/>
                <w:listItem w:displayText="4. ORGANIZATIONAL (4.1. Governance) - UNDP Risk Appetite: EXPLORATORY TO OPEN" w:value="4. ORGANIZATIONAL (4.1. Governance) - UNDP Risk Appetite: EXPLORATORY TO OPEN"/>
                <w:listItem w:displayText="4. ORGANIZATIONAL (4.2. Execution capacity) - UNDP Risk Appetite: EXPLORATORY TO OPEN" w:value="4. ORGANIZATIONAL (4.2. Execution capacity) - UNDP Risk Appetite: EXPLORATORY TO OPEN"/>
                <w:listItem w:displayText="4. ORGANIZATIONAL (4.3. Implementation arrangements) - UNDP Risk Appetite: EXPLORATORY TO OPEN" w:value="4. ORGANIZATIONAL (4.3. Implementation arrangements) - UNDP Risk Appetite: EXPLORATORY TO OPEN"/>
                <w:listItem w:displayText="4. ORGANIZATIONAL (4.4. Accountability) - UNDP Risk Appetite: EXPLORATORY TO OPEN" w:value="4. ORGANIZATIONAL (4.4. Accountability) - UNDP Risk Appetite: EXPLORATORY TO OPEN"/>
                <w:listItem w:displayText="4. ORGANIZATIONAL (4.5. Monitoring and oversight) - UNDP Risk Appetite: EXPLORATORY TO OPEN" w:value="4. ORGANIZATIONAL (4.5. Monitoring and oversight) - UNDP Risk Appetite: EXPLORATORY TO OPEN"/>
                <w:listItem w:displayText="4. ORGANIZATIONAL (4.6. Knowledge management) - UNDP Risk Appetite: EXPLORATORY TO OPEN" w:value="4. ORGANIZATIONAL (4.6. Knowledge management) - UNDP Risk Appetite: EXPLORATORY TO OPEN"/>
                <w:listItem w:displayText="4. ORGANIZATIONAL (4.7. Human Resources) - UNDP Risk Appetite: EXPLORATORY TO OPEN" w:value="4. ORGANIZATIONAL (4.7. Human Resources) - UNDP Risk Appetite: EXPLORATORY TO OPEN"/>
                <w:listItem w:displayText="4. ORGANIZATIONAL (4.8. Internal control) - UNDP Risk Appetite: EXPLORATORY TO OPEN" w:value="4. ORGANIZATIONAL (4.8. Internal control) - UNDP Risk Appetite: EXPLORATORY TO OPEN"/>
                <w:listItem w:displayText="4. ORGANIZATIONAL (4.9. Procurement) - UNDP Risk Appetite: EXPLORATORY TO OPEN" w:value="4. ORGANIZATIONAL (4.9. Procurement) - UNDP Risk Appetite: EXPLORATORY TO OPEN"/>
                <w:listItem w:displayText="5. REPUTATIONAL (5.1. Public opinion and media) - UNDP Risk Appetite: CAUTIOUS" w:value="5. REPUTATIONAL (5.1. Public opinion and media) - UNDP Risk Appetite: CAUTIOUS"/>
                <w:listItem w:displayText="5. REPUTATIONAL (5.2. Engagement with private sector partnership) - UNDP Risk Appetite: CAUTIOUS" w:value="5. REPUTATIONAL (5.2. Engagement with private sector partnership) - UNDP Risk Appetite: CAUTIOUS"/>
                <w:listItem w:displayText="5. REPUTATIONAL (5.3. Code of conduct and ethics) - UNDP Risk Appetite: CAUTIOUS" w:value="5. REPUTATIONAL (5.3. Code of conduct and ethics) - UNDP Risk Appetite: CAUTIOUS"/>
                <w:listItem w:displayText="5. REPUTATIONAL (5.4. Communications) - UNDP Risk Appetite: CAUTIOUS" w:value="5. REPUTATIONAL (5.4. Communications) - UNDP Risk Appetite: CAUTIOUS"/>
                <w:listItem w:displayText="5. REPUTATIONAL (5.5. Stakeholder management) - UNDP Risk Appetite: CAUTIOUS" w:value="5. REPUTATIONAL (5.5. Stakeholder management) - UNDP Risk Appetite: CAUTIOUS"/>
                <w:listItem w:displayText="5. REPUTATIONAL (5.6. Exposure to entities involved in money laundering and terrorism financing) - UNDP Risk Appetite: CAUTIOUS" w:value="5. REPUTATIONAL (5.6. Exposure to entities involved in money laundering and terrorism financing) - UNDP Risk Appetite: CAUTIOUS"/>
                <w:listItem w:displayText="6. REGULATORY (6.1. Changes in the regulatory framework within the country of operation) - UNDP Risk Appetite: CAUTIOUS" w:value="6. REGULATORY (6.1. Changes in the regulatory framework within the country of operation) - UNDP Risk Appetite: CAUTIOUS"/>
                <w:listItem w:displayText="6. REGULATORY (6.2. Changes in the international regulatory framework affecting the whole organization) - UNDP Risk Appetite: CAUTIOUS" w:value="6. REGULATORY (6.2. Changes in the international regulatory framework affecting the whole organization) - UNDP Risk Appetite: CAUTIOUS"/>
                <w:listItem w:displayText="6. REGULATORY (6.3. Deviation from UNDP internal rules and regulations) - UNDP Risk Appetite: CAUTIOUS" w:value="6. REGULATORY (6.3. Deviation from UNDP internal rules and regulations) - UNDP Risk Appetite: CAUTIOUS"/>
                <w:listItem w:displayText="7. STRATEGIC (7.1. Alignment with UNDP strategic priorities) - UNDP Risk Appetite: OPEN TO SEEKING" w:value="7. STRATEGIC (7.1. Alignment with UNDP strategic priorities) - UNDP Risk Appetite: OPEN TO SEEKING"/>
                <w:listItem w:displayText="7. STRATEGIC (7.2. UN system coordination and reform) - UNDP Risk Appetite: OPEN TO SEEKING" w:value="7. STRATEGIC (7.2. UN system coordination and reform) - UNDP Risk Appetite: OPEN TO SEEKING"/>
                <w:listItem w:displayText="7. STRATEGIC (7.3. Stakeholder relations and partnerships) - UNDP Risk Appetite: OPEN TO SEEKING" w:value="7. STRATEGIC (7.3. Stakeholder relations and partnerships) - UNDP Risk Appetite: OPEN TO SEEKING"/>
                <w:listItem w:displayText="7. STRATEGIC (7.4. Competition) - UNDP Risk Appetite: OPEN TO SEEKING" w:value="7. STRATEGIC (7.4. Competition) - UNDP Risk Appetite: OPEN TO SEEKING"/>
                <w:listItem w:displayText="7. STRATEGIC (7.5. Government commitment) - UNDP Risk Appetite: OPEN TO SEEKING" w:value="7. STRATEGIC (7.5. Government commitment) - UNDP Risk Appetite: OPEN TO SEEKING"/>
                <w:listItem w:displayText="7. STRATEGIC (7.6. Change/turnover in government) - UNDP Risk Appetite: OPEN TO SEEKING" w:value="7. STRATEGIC (7.6. Change/turnover in government) - UNDP Risk Appetite: OPEN TO SEEKING"/>
                <w:listItem w:displayText="7. STRATEGIC (7.7. Alignment with national priorities) - UNDP Risk Appetite: OPEN TO SEEKING" w:value="7. STRATEGIC (7.7. Alignment with national priorities) - UNDP Risk Appetite: OPEN TO SEEKING"/>
                <w:listItem w:displayText="7. STRATEGIC (7.8. Innovating, piloting, experimenting) - UNDP Risk Appetite: OPEN TO SEEKING" w:value="7. STRATEGIC (7.8. Innovating, piloting, experimenting) - UNDP Risk Appetite: OPEN TO SEEKING"/>
                <w:listItem w:displayText="8. SAFETY AND SECURITY (8.1. Armed conflict) - UNDP Risk Appetite: CAUTIOUS" w:value="8. SAFETY AND SECURITY (8.1. Armed conflict) - UNDP Risk Appetite: CAUTIOUS"/>
                <w:listItem w:displayText="8. SAFETY AND SECURITY (8.2. Political instability) - UNDP Risk Appetite: CAUTIOUS" w:value="8. SAFETY AND SECURITY (8.2. Political instability) - UNDP Risk Appetite: CAUTIOUS"/>
                <w:listItem w:displayText="8. SAFETY AND SECURITY (8.3. Terrorism) - UNDP Risk Appetite: CAUTIOUS" w:value="8. SAFETY AND SECURITY (8.3. Terrorism) - UNDP Risk Appetite: CAUTIOUS"/>
                <w:listItem w:displayText="8. SAFETY AND SECURITY (8.4. Crime) - UNDP Risk Appetite: CAUTIOUS" w:value="8. SAFETY AND SECURITY (8.4. Crime) - UNDP Risk Appetite: CAUTIOUS"/>
                <w:listItem w:displayText="8. SAFETY AND SECURITY (8.5. Civil unrest) - UNDP Risk Appetite: CAUTIOUS" w:value="8. SAFETY AND SECURITY (8.5. Civil unrest) - UNDP Risk Appetite: CAUTIOUS"/>
                <w:listItem w:displayText="8. SAFETY AND SECURITY (8.6. Natural hazards) - UNDP Risk Appetite: CAUTIOUS" w:value="8. SAFETY AND SECURITY (8.6. Natural hazards) - UNDP Risk Appetite: CAUTIOUS"/>
                <w:listItem w:displayText="8. SAFETY AND SECURITY (8.7. Manmade hazards) - UNDP Risk Appetite: CAUTIOUS" w:value="8. SAFETY AND SECURITY (8.7. Manmade hazards) - UNDP Risk Appetite: CAUTIOUS"/>
                <w:listItem w:displayText="8. SAFETY AND SECURITY (8.8. Cyber security and threats) - UNDP Risk Appetite: CAUTIOUS" w:value="8. SAFETY AND SECURITY (8.8. Cyber security and threats) - UNDP Risk Appetite: CAUTIOUS"/>
              </w:dropDownList>
            </w:sdtPr>
            <w:sdtContent>
              <w:p w14:paraId="30CEA1B5" w14:textId="1D9A9C29" w:rsidR="0083552F" w:rsidRPr="0099743C" w:rsidRDefault="0083552F" w:rsidP="0099743C">
                <w:pPr>
                  <w:spacing w:beforeLines="60" w:before="144" w:afterLines="60" w:after="144"/>
                  <w:contextualSpacing/>
                  <w:rPr>
                    <w:rFonts w:ascii="Arial Narrow" w:hAnsi="Arial Narrow"/>
                    <w:b/>
                    <w:sz w:val="20"/>
                  </w:rPr>
                </w:pPr>
                <w:r>
                  <w:rPr>
                    <w:rFonts w:ascii="Arial Narrow" w:hAnsi="Arial Narrow"/>
                    <w:b/>
                    <w:sz w:val="20"/>
                    <w:highlight w:val="lightGray"/>
                  </w:rPr>
                  <w:t>1. SOCIAL AND ENVIRONMENTAL (1.5. Climate change and disaster risks) - UNDP Risk Appetite: CAUTIOUS</w:t>
                </w:r>
              </w:p>
            </w:sdtContent>
          </w:sdt>
          <w:p w14:paraId="6C1F1A21" w14:textId="676F3845" w:rsidR="0083552F" w:rsidRPr="0099743C" w:rsidRDefault="0083552F" w:rsidP="0099743C">
            <w:pPr>
              <w:pBdr>
                <w:top w:val="nil"/>
                <w:left w:val="nil"/>
                <w:bottom w:val="nil"/>
                <w:right w:val="nil"/>
                <w:between w:val="nil"/>
              </w:pBdr>
              <w:rPr>
                <w:rFonts w:ascii="Century Gothic" w:eastAsia="Century Gothic" w:hAnsi="Century Gothic"/>
                <w:color w:val="000000"/>
                <w:sz w:val="18"/>
              </w:rPr>
            </w:pPr>
          </w:p>
        </w:tc>
        <w:tc>
          <w:tcPr>
            <w:tcW w:w="1620" w:type="dxa"/>
            <w:vMerge w:val="restart"/>
            <w:shd w:val="clear" w:color="auto" w:fill="auto"/>
            <w:tcMar>
              <w:top w:w="80" w:type="dxa"/>
              <w:left w:w="80" w:type="dxa"/>
              <w:bottom w:w="80" w:type="dxa"/>
              <w:right w:w="80" w:type="dxa"/>
            </w:tcMar>
          </w:tcPr>
          <w:p w14:paraId="3086984B" w14:textId="77777777" w:rsidR="0083552F" w:rsidRPr="0099743C" w:rsidRDefault="0083552F" w:rsidP="0099743C">
            <w:pPr>
              <w:spacing w:after="40"/>
              <w:rPr>
                <w:rFonts w:ascii="Arial Narrow" w:hAnsi="Arial Narrow"/>
                <w:sz w:val="20"/>
              </w:rPr>
            </w:pPr>
            <w:r w:rsidRPr="0099743C">
              <w:rPr>
                <w:rFonts w:ascii="Arial Narrow" w:hAnsi="Arial Narrow"/>
                <w:sz w:val="20"/>
              </w:rPr>
              <w:t>Likelihood:</w:t>
            </w:r>
          </w:p>
          <w:p w14:paraId="368D36A9" w14:textId="08627659" w:rsidR="0083552F" w:rsidRPr="0099743C" w:rsidRDefault="00000000" w:rsidP="0099743C">
            <w:pPr>
              <w:spacing w:after="40"/>
              <w:rPr>
                <w:rFonts w:ascii="Arial Narrow" w:hAnsi="Arial Narrow"/>
                <w:b/>
                <w:sz w:val="20"/>
              </w:rPr>
            </w:pPr>
            <w:sdt>
              <w:sdtPr>
                <w:rPr>
                  <w:rFonts w:ascii="Arial Narrow" w:hAnsi="Arial Narrow"/>
                  <w:b/>
                  <w:sz w:val="20"/>
                  <w:highlight w:val="lightGray"/>
                </w:rPr>
                <w:alias w:val="Select Likelihood Level"/>
                <w:tag w:val="Select Likelihood Level"/>
                <w:id w:val="-1472214353"/>
                <w:placeholder>
                  <w:docPart w:val="AB35E7AF5D9ADF4486F66DD1F347554D"/>
                </w:placeholder>
                <w:dropDownList>
                  <w:listItem w:displayText="PLEASE SELECT" w:value="PLEASE SELECT"/>
                  <w:listItem w:displayText="1 - Not likely" w:value="1 - Not likely"/>
                  <w:listItem w:displayText="2 - Low likelihood" w:value="2 - Low likelihood"/>
                  <w:listItem w:displayText="3 - Moderately likely" w:value="3 - Moderately likely"/>
                  <w:listItem w:displayText="4 - Highly likely" w:value="4 - Highly likely"/>
                  <w:listItem w:displayText="5 - Expected" w:value="5 - Expected"/>
                </w:dropDownList>
              </w:sdtPr>
              <w:sdtContent>
                <w:r w:rsidR="0083552F">
                  <w:rPr>
                    <w:rFonts w:ascii="Arial Narrow" w:hAnsi="Arial Narrow"/>
                    <w:b/>
                    <w:sz w:val="20"/>
                    <w:highlight w:val="lightGray"/>
                  </w:rPr>
                  <w:t>2 - Low likelihood</w:t>
                </w:r>
              </w:sdtContent>
            </w:sdt>
          </w:p>
          <w:p w14:paraId="6276BAD3" w14:textId="77777777" w:rsidR="0083552F" w:rsidRPr="0099743C" w:rsidRDefault="0083552F" w:rsidP="0099743C">
            <w:pPr>
              <w:spacing w:after="40"/>
              <w:rPr>
                <w:rFonts w:ascii="Arial Narrow" w:hAnsi="Arial Narrow"/>
                <w:sz w:val="20"/>
              </w:rPr>
            </w:pPr>
            <w:r w:rsidRPr="0099743C">
              <w:rPr>
                <w:rFonts w:ascii="Arial Narrow" w:hAnsi="Arial Narrow"/>
                <w:sz w:val="20"/>
              </w:rPr>
              <w:t xml:space="preserve">Impact: </w:t>
            </w:r>
          </w:p>
          <w:p w14:paraId="7FEA0ACA" w14:textId="1EEE3E32" w:rsidR="0083552F" w:rsidRPr="0099743C" w:rsidRDefault="00000000" w:rsidP="0099743C">
            <w:pPr>
              <w:spacing w:after="40"/>
              <w:rPr>
                <w:rFonts w:ascii="Arial Narrow" w:hAnsi="Arial Narrow"/>
                <w:b/>
                <w:sz w:val="20"/>
                <w:highlight w:val="lightGray"/>
              </w:rPr>
            </w:pPr>
            <w:sdt>
              <w:sdtPr>
                <w:rPr>
                  <w:rFonts w:ascii="Arial Narrow" w:hAnsi="Arial Narrow"/>
                  <w:b/>
                  <w:sz w:val="20"/>
                  <w:highlight w:val="lightGray"/>
                </w:rPr>
                <w:alias w:val="Select Impact Level"/>
                <w:tag w:val="Select Impact Level"/>
                <w:id w:val="-80452272"/>
                <w:placeholder>
                  <w:docPart w:val="AB35E7AF5D9ADF4486F66DD1F347554D"/>
                </w:placeholder>
                <w:dropDownList>
                  <w:listItem w:displayText="PLEASE SELECT" w:value="PLEASE SELECT"/>
                  <w:listItem w:displayText="1 - Negligible" w:value="1 - Negligible"/>
                  <w:listItem w:displayText="2 - Minor" w:value="2 - Minor"/>
                  <w:listItem w:displayText="3 - Intermediate" w:value="3 - Intermediate"/>
                  <w:listItem w:displayText="4 - Extensive" w:value="4 - Extensive"/>
                  <w:listItem w:displayText="5 - Extreme" w:value="5 - Extreme"/>
                </w:dropDownList>
              </w:sdtPr>
              <w:sdtContent>
                <w:r w:rsidR="0083552F">
                  <w:rPr>
                    <w:rFonts w:ascii="Arial Narrow" w:hAnsi="Arial Narrow"/>
                    <w:b/>
                    <w:sz w:val="20"/>
                    <w:highlight w:val="lightGray"/>
                  </w:rPr>
                  <w:t>2 - Minor</w:t>
                </w:r>
              </w:sdtContent>
            </w:sdt>
          </w:p>
          <w:p w14:paraId="50ACD4ED" w14:textId="77777777" w:rsidR="0083552F" w:rsidRPr="0099743C" w:rsidRDefault="0083552F" w:rsidP="0099743C">
            <w:pPr>
              <w:spacing w:after="40"/>
              <w:rPr>
                <w:rFonts w:ascii="Arial Narrow" w:hAnsi="Arial Narrow"/>
                <w:sz w:val="20"/>
              </w:rPr>
            </w:pPr>
            <w:r w:rsidRPr="0099743C">
              <w:rPr>
                <w:rFonts w:ascii="Arial Narrow" w:hAnsi="Arial Narrow"/>
                <w:sz w:val="20"/>
              </w:rPr>
              <w:t>Risk level:</w:t>
            </w:r>
          </w:p>
          <w:p w14:paraId="6C1F1A29" w14:textId="6289DE3C" w:rsidR="0083552F" w:rsidRPr="0099743C" w:rsidRDefault="00000000" w:rsidP="0099743C">
            <w:pPr>
              <w:pBdr>
                <w:top w:val="nil"/>
                <w:left w:val="nil"/>
                <w:bottom w:val="nil"/>
                <w:right w:val="nil"/>
                <w:between w:val="nil"/>
              </w:pBdr>
              <w:jc w:val="both"/>
              <w:rPr>
                <w:rFonts w:ascii="Century Gothic" w:eastAsia="Century Gothic" w:hAnsi="Century Gothic"/>
                <w:color w:val="000000"/>
                <w:sz w:val="18"/>
              </w:rPr>
            </w:pPr>
            <w:sdt>
              <w:sdtPr>
                <w:rPr>
                  <w:rFonts w:ascii="Arial Narrow" w:hAnsi="Arial Narrow"/>
                  <w:b/>
                  <w:sz w:val="20"/>
                  <w:highlight w:val="lightGray"/>
                </w:rPr>
                <w:alias w:val="Select Risk Level"/>
                <w:tag w:val="Select Risk Level"/>
                <w:id w:val="189806364"/>
                <w:placeholder>
                  <w:docPart w:val="AB35E7AF5D9ADF4486F66DD1F347554D"/>
                </w:placeholder>
                <w:dropDownList>
                  <w:listItem w:displayText="PLEASE SELECT" w:value="PLEASE SELECT"/>
                  <w:listItem w:displayText="LOW (equates to a risk appetite of MINIMAL)" w:value="LOW (equates to a risk appetite of MINIMAL)"/>
                  <w:listItem w:displayText="LOW (equates to a risk appetite of CAUTIOUS)" w:value="LOW (equates to a risk appetite of CAUTIOUS)"/>
                  <w:listItem w:displayText="MODERATE (equates to a risk appetite of EXPLORATORY)" w:value="MODERATE (equates to a risk appetite of EXPLORATORY)"/>
                  <w:listItem w:displayText="SUBSTANTIAL (equates to a risk appetite of OPEN)" w:value="SUBSTANTIAL (equates to a risk appetite of OPEN)"/>
                  <w:listItem w:displayText="HIGH RISK (equates to a risk appetite of SEEK)" w:value="HIGH RISK (equates to a risk appetite of SEEK)"/>
                </w:dropDownList>
              </w:sdtPr>
              <w:sdtContent>
                <w:r w:rsidR="0083552F">
                  <w:rPr>
                    <w:rFonts w:ascii="Arial Narrow" w:hAnsi="Arial Narrow"/>
                    <w:b/>
                    <w:sz w:val="20"/>
                    <w:highlight w:val="lightGray"/>
                  </w:rPr>
                  <w:t>LOW (equates to a risk appetite of CAUTIOUS)</w:t>
                </w:r>
              </w:sdtContent>
            </w:sdt>
          </w:p>
        </w:tc>
        <w:tc>
          <w:tcPr>
            <w:tcW w:w="1440" w:type="dxa"/>
            <w:vMerge w:val="restart"/>
            <w:shd w:val="clear" w:color="auto" w:fill="auto"/>
            <w:tcMar>
              <w:top w:w="80" w:type="dxa"/>
              <w:left w:w="80" w:type="dxa"/>
              <w:bottom w:w="80" w:type="dxa"/>
              <w:right w:w="80" w:type="dxa"/>
            </w:tcMar>
          </w:tcPr>
          <w:p w14:paraId="193AB258" w14:textId="77777777" w:rsidR="0083552F" w:rsidRPr="0099743C" w:rsidRDefault="0083552F" w:rsidP="0099743C">
            <w:pPr>
              <w:spacing w:before="40" w:after="40"/>
              <w:contextualSpacing/>
              <w:rPr>
                <w:rFonts w:ascii="Arial Narrow" w:hAnsi="Arial Narrow"/>
                <w:sz w:val="20"/>
                <w:highlight w:val="lightGray"/>
              </w:rPr>
            </w:pPr>
            <w:r w:rsidRPr="0099743C">
              <w:rPr>
                <w:rFonts w:ascii="Arial Narrow" w:hAnsi="Arial Narrow"/>
                <w:sz w:val="20"/>
              </w:rPr>
              <w:t xml:space="preserve">From: </w:t>
            </w:r>
            <w:sdt>
              <w:sdtPr>
                <w:rPr>
                  <w:rFonts w:ascii="Arial Narrow" w:hAnsi="Arial Narrow"/>
                  <w:sz w:val="20"/>
                  <w:highlight w:val="lightGray"/>
                </w:rPr>
                <w:alias w:val="Select starting date"/>
                <w:tag w:val="Select starting date"/>
                <w:id w:val="2037614635"/>
                <w:placeholder>
                  <w:docPart w:val="3AEA77F4BFFCAF41BD813F4F7FB2A664"/>
                </w:placeholder>
                <w:showingPlcHdr/>
                <w:date>
                  <w:dateFormat w:val="dd-MMM-yy"/>
                  <w:lid w:val="en-US"/>
                  <w:storeMappedDataAs w:val="dateTime"/>
                  <w:calendar w:val="gregorian"/>
                </w:date>
              </w:sdtPr>
              <w:sdtContent>
                <w:r w:rsidRPr="0099743C">
                  <w:rPr>
                    <w:rStyle w:val="PlaceholderText"/>
                    <w:rFonts w:ascii="Arial Narrow" w:hAnsi="Arial Narrow"/>
                    <w:b/>
                    <w:sz w:val="20"/>
                    <w:highlight w:val="lightGray"/>
                  </w:rPr>
                  <w:t>Click or tap to enter a date.</w:t>
                </w:r>
              </w:sdtContent>
            </w:sdt>
          </w:p>
          <w:p w14:paraId="7BD88726" w14:textId="77777777" w:rsidR="0083552F" w:rsidRPr="0099743C" w:rsidRDefault="0083552F" w:rsidP="0099743C">
            <w:pPr>
              <w:spacing w:before="40" w:after="40"/>
              <w:contextualSpacing/>
              <w:rPr>
                <w:rFonts w:ascii="Arial Narrow" w:hAnsi="Arial Narrow"/>
                <w:sz w:val="20"/>
                <w:highlight w:val="lightGray"/>
              </w:rPr>
            </w:pPr>
          </w:p>
          <w:p w14:paraId="6C1F1A2C" w14:textId="3CC5AAF3" w:rsidR="0083552F" w:rsidRPr="0099743C" w:rsidRDefault="0083552F" w:rsidP="0099743C">
            <w:pPr>
              <w:pBdr>
                <w:top w:val="nil"/>
                <w:left w:val="nil"/>
                <w:bottom w:val="nil"/>
                <w:right w:val="nil"/>
                <w:between w:val="nil"/>
              </w:pBdr>
              <w:jc w:val="both"/>
              <w:rPr>
                <w:rFonts w:ascii="Century Gothic" w:eastAsia="Century Gothic" w:hAnsi="Century Gothic"/>
                <w:color w:val="000000"/>
                <w:sz w:val="18"/>
              </w:rPr>
            </w:pPr>
            <w:r w:rsidRPr="0099743C">
              <w:rPr>
                <w:rFonts w:ascii="Arial Narrow" w:hAnsi="Arial Narrow"/>
                <w:sz w:val="20"/>
              </w:rPr>
              <w:t xml:space="preserve">To: </w:t>
            </w:r>
            <w:sdt>
              <w:sdtPr>
                <w:rPr>
                  <w:rFonts w:ascii="Arial Narrow" w:hAnsi="Arial Narrow"/>
                  <w:sz w:val="20"/>
                  <w:highlight w:val="lightGray"/>
                </w:rPr>
                <w:alias w:val="Select End Date"/>
                <w:tag w:val="Select End Date"/>
                <w:id w:val="1069919569"/>
                <w:placeholder>
                  <w:docPart w:val="3AEA77F4BFFCAF41BD813F4F7FB2A664"/>
                </w:placeholder>
                <w:showingPlcHdr/>
                <w:date>
                  <w:dateFormat w:val="dd-MMM-yy"/>
                  <w:lid w:val="en-US"/>
                  <w:storeMappedDataAs w:val="dateTime"/>
                  <w:calendar w:val="gregorian"/>
                </w:date>
              </w:sdtPr>
              <w:sdtContent>
                <w:r w:rsidRPr="0099743C">
                  <w:rPr>
                    <w:rStyle w:val="PlaceholderText"/>
                    <w:rFonts w:ascii="Arial Narrow" w:hAnsi="Arial Narrow"/>
                    <w:b/>
                    <w:sz w:val="20"/>
                    <w:highlight w:val="lightGray"/>
                  </w:rPr>
                  <w:t>Click or tap to enter a date.</w:t>
                </w:r>
              </w:sdtContent>
            </w:sdt>
          </w:p>
        </w:tc>
        <w:tc>
          <w:tcPr>
            <w:tcW w:w="720" w:type="dxa"/>
            <w:vMerge w:val="restart"/>
            <w:shd w:val="clear" w:color="auto" w:fill="auto"/>
            <w:tcMar>
              <w:top w:w="80" w:type="dxa"/>
              <w:left w:w="80" w:type="dxa"/>
              <w:bottom w:w="80" w:type="dxa"/>
              <w:right w:w="80" w:type="dxa"/>
            </w:tcMar>
          </w:tcPr>
          <w:p w14:paraId="1801BB04" w14:textId="77777777" w:rsidR="004A0DDE" w:rsidRPr="0099743C" w:rsidRDefault="004A0DDE" w:rsidP="004A0DDE">
            <w:pPr>
              <w:pBdr>
                <w:top w:val="nil"/>
                <w:left w:val="nil"/>
                <w:bottom w:val="nil"/>
                <w:right w:val="nil"/>
                <w:between w:val="nil"/>
              </w:pBdr>
              <w:jc w:val="both"/>
              <w:rPr>
                <w:rFonts w:ascii="Arial Narrow" w:eastAsia="Arial Narrow" w:hAnsi="Arial Narrow"/>
                <w:color w:val="000000"/>
                <w:sz w:val="18"/>
              </w:rPr>
            </w:pPr>
            <w:r>
              <w:rPr>
                <w:rFonts w:ascii="Arial Narrow" w:eastAsia="Arial Narrow" w:hAnsi="Arial Narrow"/>
                <w:color w:val="000000"/>
                <w:sz w:val="18"/>
              </w:rPr>
              <w:t>IRH, UNDP COs</w:t>
            </w:r>
          </w:p>
          <w:p w14:paraId="6C1F1A2E" w14:textId="77777777" w:rsidR="0083552F" w:rsidRPr="0099743C" w:rsidRDefault="0083552F" w:rsidP="0099743C">
            <w:pPr>
              <w:pBdr>
                <w:top w:val="nil"/>
                <w:left w:val="nil"/>
                <w:bottom w:val="nil"/>
                <w:right w:val="nil"/>
                <w:between w:val="nil"/>
              </w:pBdr>
              <w:jc w:val="both"/>
              <w:rPr>
                <w:rFonts w:ascii="Century Gothic" w:eastAsia="Century Gothic" w:hAnsi="Century Gothic"/>
                <w:color w:val="000000"/>
                <w:sz w:val="18"/>
              </w:rPr>
            </w:pPr>
          </w:p>
        </w:tc>
        <w:tc>
          <w:tcPr>
            <w:tcW w:w="3600" w:type="dxa"/>
            <w:shd w:val="clear" w:color="auto" w:fill="auto"/>
            <w:tcMar>
              <w:top w:w="80" w:type="dxa"/>
              <w:left w:w="80" w:type="dxa"/>
              <w:bottom w:w="80" w:type="dxa"/>
              <w:right w:w="80" w:type="dxa"/>
            </w:tcMar>
          </w:tcPr>
          <w:p w14:paraId="6C1F1A2F" w14:textId="794973E7" w:rsidR="0083552F" w:rsidRPr="0099743C" w:rsidRDefault="0083552F" w:rsidP="0099743C">
            <w:pPr>
              <w:pBdr>
                <w:top w:val="nil"/>
                <w:left w:val="nil"/>
                <w:bottom w:val="nil"/>
                <w:right w:val="nil"/>
                <w:between w:val="nil"/>
              </w:pBdr>
              <w:jc w:val="both"/>
              <w:rPr>
                <w:rFonts w:ascii="Arial Narrow" w:eastAsia="Arial Narrow" w:hAnsi="Arial Narrow"/>
                <w:color w:val="000000"/>
                <w:sz w:val="18"/>
              </w:rPr>
            </w:pPr>
            <w:r w:rsidRPr="0099743C">
              <w:rPr>
                <w:rFonts w:ascii="Arial Narrow" w:eastAsia="Arial Narrow" w:hAnsi="Arial Narrow"/>
                <w:color w:val="000000"/>
                <w:sz w:val="18"/>
              </w:rPr>
              <w:t xml:space="preserve">Risk Treatment </w:t>
            </w:r>
            <w:r w:rsidR="00027260">
              <w:rPr>
                <w:rFonts w:ascii="Arial Narrow" w:eastAsia="Arial Narrow" w:hAnsi="Arial Narrow"/>
                <w:color w:val="000000"/>
                <w:sz w:val="18"/>
              </w:rPr>
              <w:t>1</w:t>
            </w:r>
            <w:r w:rsidRPr="0099743C">
              <w:rPr>
                <w:rFonts w:ascii="Arial Narrow" w:eastAsia="Arial Narrow" w:hAnsi="Arial Narrow"/>
                <w:color w:val="000000"/>
                <w:sz w:val="18"/>
              </w:rPr>
              <w:t xml:space="preserve">: </w:t>
            </w:r>
            <w:r>
              <w:rPr>
                <w:rFonts w:ascii="Arial Narrow" w:eastAsia="Arial Narrow" w:hAnsi="Arial Narrow"/>
                <w:color w:val="000000"/>
                <w:sz w:val="18"/>
              </w:rPr>
              <w:t xml:space="preserve"> </w:t>
            </w:r>
            <w:r w:rsidRPr="0083552F">
              <w:rPr>
                <w:rFonts w:ascii="Arial Narrow" w:eastAsia="Arial Narrow" w:hAnsi="Arial Narrow"/>
                <w:color w:val="000000"/>
                <w:sz w:val="18"/>
              </w:rPr>
              <w:t>Socio-economic community-based interventions will be grounded in local participatory planning, prioritizing green community solutions. These solutions will aim to reduce ULS risks to people's health and the environment, improve livelihoods in project areas.</w:t>
            </w:r>
          </w:p>
          <w:p w14:paraId="6ADB7065" w14:textId="77777777" w:rsidR="0083552F" w:rsidRDefault="0083552F" w:rsidP="0099743C">
            <w:pPr>
              <w:pBdr>
                <w:top w:val="nil"/>
                <w:left w:val="nil"/>
                <w:bottom w:val="nil"/>
                <w:right w:val="nil"/>
                <w:between w:val="nil"/>
              </w:pBdr>
              <w:jc w:val="both"/>
              <w:rPr>
                <w:rFonts w:ascii="Arial Narrow" w:eastAsia="Arial Narrow" w:hAnsi="Arial Narrow"/>
                <w:color w:val="000000"/>
                <w:sz w:val="18"/>
              </w:rPr>
            </w:pPr>
          </w:p>
          <w:p w14:paraId="6C1F1A30" w14:textId="35184E36" w:rsidR="0083552F" w:rsidRPr="00A15AE6" w:rsidRDefault="0083552F" w:rsidP="0099743C">
            <w:pPr>
              <w:pBdr>
                <w:top w:val="nil"/>
                <w:left w:val="nil"/>
                <w:bottom w:val="nil"/>
                <w:right w:val="nil"/>
                <w:between w:val="nil"/>
              </w:pBdr>
              <w:jc w:val="both"/>
              <w:rPr>
                <w:rFonts w:ascii="Arial Narrow" w:eastAsia="Arial Narrow" w:hAnsi="Arial Narrow"/>
                <w:color w:val="000000"/>
                <w:sz w:val="18"/>
              </w:rPr>
            </w:pPr>
            <w:r w:rsidRPr="0099743C">
              <w:rPr>
                <w:rFonts w:ascii="Arial Narrow" w:eastAsia="Arial Narrow" w:hAnsi="Arial Narrow"/>
                <w:color w:val="000000"/>
                <w:sz w:val="18"/>
              </w:rPr>
              <w:t xml:space="preserve">Risk Treatment Owner: </w:t>
            </w:r>
            <w:r w:rsidR="00A15AE6">
              <w:rPr>
                <w:rFonts w:ascii="Arial Narrow" w:eastAsia="Arial Narrow" w:hAnsi="Arial Narrow"/>
                <w:color w:val="000000"/>
                <w:sz w:val="18"/>
              </w:rPr>
              <w:t>IRH, UNDP COs</w:t>
            </w:r>
          </w:p>
        </w:tc>
      </w:tr>
      <w:tr w:rsidR="0083552F" w14:paraId="6C1F1A3C" w14:textId="77777777" w:rsidTr="004707EE">
        <w:trPr>
          <w:trHeight w:val="570"/>
        </w:trPr>
        <w:tc>
          <w:tcPr>
            <w:tcW w:w="360" w:type="dxa"/>
            <w:vMerge/>
            <w:tcMar>
              <w:top w:w="80" w:type="dxa"/>
              <w:left w:w="80" w:type="dxa"/>
              <w:bottom w:w="80" w:type="dxa"/>
              <w:right w:w="80" w:type="dxa"/>
            </w:tcMar>
          </w:tcPr>
          <w:p w14:paraId="6C1F1A32" w14:textId="77777777" w:rsidR="0083552F" w:rsidRPr="0099743C" w:rsidRDefault="0083552F" w:rsidP="0099743C">
            <w:pPr>
              <w:widowControl w:val="0"/>
              <w:pBdr>
                <w:top w:val="nil"/>
                <w:left w:val="nil"/>
                <w:bottom w:val="nil"/>
                <w:right w:val="nil"/>
                <w:between w:val="nil"/>
              </w:pBdr>
              <w:rPr>
                <w:rFonts w:ascii="Century Gothic" w:eastAsia="Century Gothic" w:hAnsi="Century Gothic"/>
                <w:color w:val="000000"/>
                <w:sz w:val="20"/>
              </w:rPr>
            </w:pPr>
          </w:p>
        </w:tc>
        <w:tc>
          <w:tcPr>
            <w:tcW w:w="2070" w:type="dxa"/>
            <w:vMerge/>
            <w:tcMar>
              <w:top w:w="80" w:type="dxa"/>
              <w:left w:w="80" w:type="dxa"/>
              <w:bottom w:w="80" w:type="dxa"/>
              <w:right w:w="80" w:type="dxa"/>
            </w:tcMar>
          </w:tcPr>
          <w:p w14:paraId="6C1F1A33" w14:textId="77777777" w:rsidR="0083552F" w:rsidRPr="0099743C" w:rsidRDefault="0083552F" w:rsidP="0099743C">
            <w:pPr>
              <w:widowControl w:val="0"/>
              <w:pBdr>
                <w:top w:val="nil"/>
                <w:left w:val="nil"/>
                <w:bottom w:val="nil"/>
                <w:right w:val="nil"/>
                <w:between w:val="nil"/>
              </w:pBdr>
              <w:rPr>
                <w:rFonts w:ascii="Century Gothic" w:eastAsia="Century Gothic" w:hAnsi="Century Gothic"/>
                <w:color w:val="000000"/>
                <w:sz w:val="20"/>
              </w:rPr>
            </w:pPr>
          </w:p>
        </w:tc>
        <w:tc>
          <w:tcPr>
            <w:tcW w:w="2070" w:type="dxa"/>
            <w:vMerge/>
            <w:tcMar>
              <w:top w:w="80" w:type="dxa"/>
              <w:left w:w="80" w:type="dxa"/>
              <w:bottom w:w="80" w:type="dxa"/>
              <w:right w:w="80" w:type="dxa"/>
            </w:tcMar>
          </w:tcPr>
          <w:p w14:paraId="6C1F1A34" w14:textId="77777777" w:rsidR="0083552F" w:rsidRPr="0099743C" w:rsidRDefault="0083552F" w:rsidP="0099743C">
            <w:pPr>
              <w:widowControl w:val="0"/>
              <w:pBdr>
                <w:top w:val="nil"/>
                <w:left w:val="nil"/>
                <w:bottom w:val="nil"/>
                <w:right w:val="nil"/>
                <w:between w:val="nil"/>
              </w:pBdr>
              <w:rPr>
                <w:rFonts w:ascii="Century Gothic" w:eastAsia="Century Gothic" w:hAnsi="Century Gothic"/>
                <w:color w:val="000000"/>
                <w:sz w:val="20"/>
              </w:rPr>
            </w:pPr>
          </w:p>
        </w:tc>
        <w:tc>
          <w:tcPr>
            <w:tcW w:w="2160" w:type="dxa"/>
            <w:vMerge/>
            <w:tcMar>
              <w:top w:w="80" w:type="dxa"/>
              <w:left w:w="80" w:type="dxa"/>
              <w:bottom w:w="80" w:type="dxa"/>
              <w:right w:w="80" w:type="dxa"/>
            </w:tcMar>
          </w:tcPr>
          <w:p w14:paraId="6C1F1A35" w14:textId="77777777" w:rsidR="0083552F" w:rsidRPr="0099743C" w:rsidRDefault="0083552F" w:rsidP="0099743C">
            <w:pPr>
              <w:widowControl w:val="0"/>
              <w:pBdr>
                <w:top w:val="nil"/>
                <w:left w:val="nil"/>
                <w:bottom w:val="nil"/>
                <w:right w:val="nil"/>
                <w:between w:val="nil"/>
              </w:pBdr>
              <w:rPr>
                <w:rFonts w:ascii="Century Gothic" w:eastAsia="Century Gothic" w:hAnsi="Century Gothic"/>
                <w:color w:val="000000"/>
                <w:sz w:val="20"/>
              </w:rPr>
            </w:pPr>
          </w:p>
        </w:tc>
        <w:tc>
          <w:tcPr>
            <w:tcW w:w="1800" w:type="dxa"/>
            <w:vMerge/>
            <w:tcMar>
              <w:top w:w="80" w:type="dxa"/>
              <w:left w:w="80" w:type="dxa"/>
              <w:bottom w:w="80" w:type="dxa"/>
              <w:right w:w="80" w:type="dxa"/>
            </w:tcMar>
          </w:tcPr>
          <w:p w14:paraId="6C1F1A36" w14:textId="77777777" w:rsidR="0083552F" w:rsidRPr="0099743C" w:rsidRDefault="0083552F" w:rsidP="0099743C">
            <w:pPr>
              <w:widowControl w:val="0"/>
              <w:pBdr>
                <w:top w:val="nil"/>
                <w:left w:val="nil"/>
                <w:bottom w:val="nil"/>
                <w:right w:val="nil"/>
                <w:between w:val="nil"/>
              </w:pBdr>
              <w:rPr>
                <w:rFonts w:ascii="Century Gothic" w:eastAsia="Century Gothic" w:hAnsi="Century Gothic"/>
                <w:color w:val="000000"/>
                <w:sz w:val="20"/>
              </w:rPr>
            </w:pPr>
          </w:p>
        </w:tc>
        <w:tc>
          <w:tcPr>
            <w:tcW w:w="1620" w:type="dxa"/>
            <w:vMerge/>
            <w:tcMar>
              <w:top w:w="80" w:type="dxa"/>
              <w:left w:w="80" w:type="dxa"/>
              <w:bottom w:w="80" w:type="dxa"/>
              <w:right w:w="80" w:type="dxa"/>
            </w:tcMar>
          </w:tcPr>
          <w:p w14:paraId="6C1F1A37" w14:textId="77777777" w:rsidR="0083552F" w:rsidRPr="0099743C" w:rsidRDefault="0083552F" w:rsidP="0099743C">
            <w:pPr>
              <w:widowControl w:val="0"/>
              <w:pBdr>
                <w:top w:val="nil"/>
                <w:left w:val="nil"/>
                <w:bottom w:val="nil"/>
                <w:right w:val="nil"/>
                <w:between w:val="nil"/>
              </w:pBdr>
              <w:rPr>
                <w:rFonts w:ascii="Century Gothic" w:eastAsia="Century Gothic" w:hAnsi="Century Gothic"/>
                <w:color w:val="000000"/>
                <w:sz w:val="20"/>
              </w:rPr>
            </w:pPr>
          </w:p>
        </w:tc>
        <w:tc>
          <w:tcPr>
            <w:tcW w:w="1440" w:type="dxa"/>
            <w:vMerge/>
            <w:tcMar>
              <w:top w:w="80" w:type="dxa"/>
              <w:left w:w="80" w:type="dxa"/>
              <w:bottom w:w="80" w:type="dxa"/>
              <w:right w:w="80" w:type="dxa"/>
            </w:tcMar>
          </w:tcPr>
          <w:p w14:paraId="6C1F1A38" w14:textId="77777777" w:rsidR="0083552F" w:rsidRPr="0099743C" w:rsidRDefault="0083552F" w:rsidP="0099743C">
            <w:pPr>
              <w:widowControl w:val="0"/>
              <w:pBdr>
                <w:top w:val="nil"/>
                <w:left w:val="nil"/>
                <w:bottom w:val="nil"/>
                <w:right w:val="nil"/>
                <w:between w:val="nil"/>
              </w:pBdr>
              <w:rPr>
                <w:rFonts w:ascii="Century Gothic" w:eastAsia="Century Gothic" w:hAnsi="Century Gothic"/>
                <w:color w:val="000000"/>
                <w:sz w:val="20"/>
              </w:rPr>
            </w:pPr>
          </w:p>
        </w:tc>
        <w:tc>
          <w:tcPr>
            <w:tcW w:w="720" w:type="dxa"/>
            <w:vMerge/>
            <w:tcMar>
              <w:top w:w="80" w:type="dxa"/>
              <w:left w:w="80" w:type="dxa"/>
              <w:bottom w:w="80" w:type="dxa"/>
              <w:right w:w="80" w:type="dxa"/>
            </w:tcMar>
          </w:tcPr>
          <w:p w14:paraId="6C1F1A39" w14:textId="77777777" w:rsidR="0083552F" w:rsidRPr="0099743C" w:rsidRDefault="0083552F" w:rsidP="0099743C">
            <w:pPr>
              <w:widowControl w:val="0"/>
              <w:pBdr>
                <w:top w:val="nil"/>
                <w:left w:val="nil"/>
                <w:bottom w:val="nil"/>
                <w:right w:val="nil"/>
                <w:between w:val="nil"/>
              </w:pBdr>
              <w:rPr>
                <w:rFonts w:ascii="Century Gothic" w:eastAsia="Century Gothic" w:hAnsi="Century Gothic"/>
                <w:color w:val="000000"/>
                <w:sz w:val="20"/>
              </w:rPr>
            </w:pPr>
          </w:p>
        </w:tc>
        <w:tc>
          <w:tcPr>
            <w:tcW w:w="3600" w:type="dxa"/>
            <w:shd w:val="clear" w:color="auto" w:fill="auto"/>
            <w:tcMar>
              <w:top w:w="80" w:type="dxa"/>
              <w:left w:w="80" w:type="dxa"/>
              <w:bottom w:w="80" w:type="dxa"/>
              <w:right w:w="80" w:type="dxa"/>
            </w:tcMar>
          </w:tcPr>
          <w:p w14:paraId="2D1897A7" w14:textId="3706BECD" w:rsidR="0083552F" w:rsidRPr="0099743C" w:rsidRDefault="0083552F" w:rsidP="0099743C">
            <w:pPr>
              <w:pBdr>
                <w:top w:val="nil"/>
                <w:left w:val="nil"/>
                <w:bottom w:val="nil"/>
                <w:right w:val="nil"/>
                <w:between w:val="nil"/>
              </w:pBdr>
              <w:jc w:val="both"/>
              <w:rPr>
                <w:rFonts w:ascii="Arial Narrow" w:eastAsia="Arial Narrow" w:hAnsi="Arial Narrow"/>
                <w:color w:val="000000"/>
                <w:sz w:val="18"/>
                <w:lang w:bidi="en-US"/>
              </w:rPr>
            </w:pPr>
            <w:r w:rsidRPr="0099743C">
              <w:rPr>
                <w:rFonts w:ascii="Arial Narrow" w:eastAsia="Arial Narrow" w:hAnsi="Arial Narrow"/>
                <w:color w:val="000000"/>
                <w:sz w:val="18"/>
              </w:rPr>
              <w:t xml:space="preserve">Risk Treatment </w:t>
            </w:r>
            <w:r w:rsidR="00027260">
              <w:rPr>
                <w:rFonts w:ascii="Arial Narrow" w:eastAsia="Arial Narrow" w:hAnsi="Arial Narrow"/>
                <w:color w:val="000000"/>
                <w:sz w:val="18"/>
              </w:rPr>
              <w:t>2</w:t>
            </w:r>
            <w:r w:rsidRPr="0099743C">
              <w:rPr>
                <w:rFonts w:ascii="Arial Narrow" w:eastAsia="Arial Narrow" w:hAnsi="Arial Narrow"/>
                <w:color w:val="000000"/>
                <w:sz w:val="18"/>
              </w:rPr>
              <w:t xml:space="preserve">: </w:t>
            </w:r>
            <w:r w:rsidR="00F04BF5" w:rsidRPr="00F04BF5">
              <w:rPr>
                <w:rFonts w:ascii="Arial Narrow" w:eastAsia="Arial Narrow" w:hAnsi="Arial Narrow"/>
                <w:color w:val="000000"/>
                <w:sz w:val="18"/>
                <w:lang w:bidi="en-US"/>
              </w:rPr>
              <w:t xml:space="preserve">The community-based grant and business projects will take into consideration criteria for recorded radiological data, environmental and hydrological meteorological data to make informed decisions regarding local measures and pilot projects (e.g., to prevent any construction work in flood-prone areas). </w:t>
            </w:r>
          </w:p>
          <w:p w14:paraId="6C1F1A3B" w14:textId="50430EA6" w:rsidR="0083552F" w:rsidRPr="00683E85" w:rsidRDefault="0083552F" w:rsidP="0099743C">
            <w:pPr>
              <w:pBdr>
                <w:top w:val="nil"/>
                <w:left w:val="nil"/>
                <w:bottom w:val="nil"/>
                <w:right w:val="nil"/>
                <w:between w:val="nil"/>
              </w:pBdr>
              <w:jc w:val="both"/>
              <w:rPr>
                <w:rFonts w:ascii="Arial Narrow" w:eastAsia="Arial Narrow" w:hAnsi="Arial Narrow"/>
                <w:color w:val="000000"/>
                <w:sz w:val="18"/>
              </w:rPr>
            </w:pPr>
            <w:r w:rsidRPr="0099743C">
              <w:rPr>
                <w:rFonts w:ascii="Arial Narrow" w:eastAsia="Arial Narrow" w:hAnsi="Arial Narrow"/>
                <w:color w:val="000000"/>
                <w:sz w:val="18"/>
              </w:rPr>
              <w:t xml:space="preserve">Risk Treatment Owner: </w:t>
            </w:r>
            <w:r w:rsidR="00683E85">
              <w:rPr>
                <w:rFonts w:ascii="Arial Narrow" w:eastAsia="Arial Narrow" w:hAnsi="Arial Narrow"/>
                <w:color w:val="000000"/>
                <w:sz w:val="18"/>
              </w:rPr>
              <w:t>IRH, UNDP COs</w:t>
            </w:r>
          </w:p>
        </w:tc>
      </w:tr>
      <w:tr w:rsidR="0083552F" w14:paraId="6C1F1A47" w14:textId="77777777" w:rsidTr="004707EE">
        <w:trPr>
          <w:trHeight w:val="20"/>
        </w:trPr>
        <w:tc>
          <w:tcPr>
            <w:tcW w:w="360" w:type="dxa"/>
            <w:vMerge/>
            <w:tcMar>
              <w:top w:w="80" w:type="dxa"/>
              <w:left w:w="80" w:type="dxa"/>
              <w:bottom w:w="80" w:type="dxa"/>
              <w:right w:w="80" w:type="dxa"/>
            </w:tcMar>
          </w:tcPr>
          <w:p w14:paraId="6C1F1A3D" w14:textId="77777777" w:rsidR="0083552F" w:rsidRPr="0099743C" w:rsidRDefault="0083552F" w:rsidP="0099743C">
            <w:pPr>
              <w:widowControl w:val="0"/>
              <w:pBdr>
                <w:top w:val="nil"/>
                <w:left w:val="nil"/>
                <w:bottom w:val="nil"/>
                <w:right w:val="nil"/>
                <w:between w:val="nil"/>
              </w:pBdr>
              <w:rPr>
                <w:rFonts w:ascii="Century Gothic" w:eastAsia="Century Gothic" w:hAnsi="Century Gothic"/>
                <w:color w:val="000000"/>
                <w:sz w:val="20"/>
              </w:rPr>
            </w:pPr>
          </w:p>
        </w:tc>
        <w:tc>
          <w:tcPr>
            <w:tcW w:w="2070" w:type="dxa"/>
            <w:vMerge/>
            <w:tcMar>
              <w:top w:w="80" w:type="dxa"/>
              <w:left w:w="80" w:type="dxa"/>
              <w:bottom w:w="80" w:type="dxa"/>
              <w:right w:w="80" w:type="dxa"/>
            </w:tcMar>
          </w:tcPr>
          <w:p w14:paraId="6C1F1A3E" w14:textId="77777777" w:rsidR="0083552F" w:rsidRPr="0099743C" w:rsidRDefault="0083552F" w:rsidP="0099743C">
            <w:pPr>
              <w:widowControl w:val="0"/>
              <w:pBdr>
                <w:top w:val="nil"/>
                <w:left w:val="nil"/>
                <w:bottom w:val="nil"/>
                <w:right w:val="nil"/>
                <w:between w:val="nil"/>
              </w:pBdr>
              <w:rPr>
                <w:rFonts w:ascii="Century Gothic" w:eastAsia="Century Gothic" w:hAnsi="Century Gothic"/>
                <w:color w:val="000000"/>
                <w:sz w:val="20"/>
              </w:rPr>
            </w:pPr>
          </w:p>
        </w:tc>
        <w:tc>
          <w:tcPr>
            <w:tcW w:w="2070" w:type="dxa"/>
            <w:vMerge/>
            <w:tcMar>
              <w:top w:w="80" w:type="dxa"/>
              <w:left w:w="80" w:type="dxa"/>
              <w:bottom w:w="80" w:type="dxa"/>
              <w:right w:w="80" w:type="dxa"/>
            </w:tcMar>
          </w:tcPr>
          <w:p w14:paraId="6C1F1A3F" w14:textId="77777777" w:rsidR="0083552F" w:rsidRPr="0099743C" w:rsidRDefault="0083552F" w:rsidP="0099743C">
            <w:pPr>
              <w:widowControl w:val="0"/>
              <w:pBdr>
                <w:top w:val="nil"/>
                <w:left w:val="nil"/>
                <w:bottom w:val="nil"/>
                <w:right w:val="nil"/>
                <w:between w:val="nil"/>
              </w:pBdr>
              <w:rPr>
                <w:rFonts w:ascii="Century Gothic" w:eastAsia="Century Gothic" w:hAnsi="Century Gothic"/>
                <w:color w:val="000000"/>
                <w:sz w:val="20"/>
              </w:rPr>
            </w:pPr>
          </w:p>
        </w:tc>
        <w:tc>
          <w:tcPr>
            <w:tcW w:w="2160" w:type="dxa"/>
            <w:vMerge/>
            <w:tcMar>
              <w:top w:w="80" w:type="dxa"/>
              <w:left w:w="80" w:type="dxa"/>
              <w:bottom w:w="80" w:type="dxa"/>
              <w:right w:w="80" w:type="dxa"/>
            </w:tcMar>
          </w:tcPr>
          <w:p w14:paraId="6C1F1A40" w14:textId="77777777" w:rsidR="0083552F" w:rsidRPr="0099743C" w:rsidRDefault="0083552F" w:rsidP="0099743C">
            <w:pPr>
              <w:widowControl w:val="0"/>
              <w:pBdr>
                <w:top w:val="nil"/>
                <w:left w:val="nil"/>
                <w:bottom w:val="nil"/>
                <w:right w:val="nil"/>
                <w:between w:val="nil"/>
              </w:pBdr>
              <w:rPr>
                <w:rFonts w:ascii="Century Gothic" w:eastAsia="Century Gothic" w:hAnsi="Century Gothic"/>
                <w:color w:val="000000"/>
                <w:sz w:val="20"/>
              </w:rPr>
            </w:pPr>
          </w:p>
        </w:tc>
        <w:tc>
          <w:tcPr>
            <w:tcW w:w="1800" w:type="dxa"/>
            <w:vMerge/>
            <w:tcMar>
              <w:top w:w="80" w:type="dxa"/>
              <w:left w:w="80" w:type="dxa"/>
              <w:bottom w:w="80" w:type="dxa"/>
              <w:right w:w="80" w:type="dxa"/>
            </w:tcMar>
          </w:tcPr>
          <w:p w14:paraId="6C1F1A41" w14:textId="77777777" w:rsidR="0083552F" w:rsidRPr="0099743C" w:rsidRDefault="0083552F" w:rsidP="0099743C">
            <w:pPr>
              <w:widowControl w:val="0"/>
              <w:pBdr>
                <w:top w:val="nil"/>
                <w:left w:val="nil"/>
                <w:bottom w:val="nil"/>
                <w:right w:val="nil"/>
                <w:between w:val="nil"/>
              </w:pBdr>
              <w:rPr>
                <w:rFonts w:ascii="Century Gothic" w:eastAsia="Century Gothic" w:hAnsi="Century Gothic"/>
                <w:color w:val="000000"/>
                <w:sz w:val="20"/>
              </w:rPr>
            </w:pPr>
          </w:p>
        </w:tc>
        <w:tc>
          <w:tcPr>
            <w:tcW w:w="1620" w:type="dxa"/>
            <w:vMerge/>
            <w:tcMar>
              <w:top w:w="80" w:type="dxa"/>
              <w:left w:w="80" w:type="dxa"/>
              <w:bottom w:w="80" w:type="dxa"/>
              <w:right w:w="80" w:type="dxa"/>
            </w:tcMar>
          </w:tcPr>
          <w:p w14:paraId="6C1F1A42" w14:textId="77777777" w:rsidR="0083552F" w:rsidRPr="0099743C" w:rsidRDefault="0083552F" w:rsidP="0099743C">
            <w:pPr>
              <w:widowControl w:val="0"/>
              <w:pBdr>
                <w:top w:val="nil"/>
                <w:left w:val="nil"/>
                <w:bottom w:val="nil"/>
                <w:right w:val="nil"/>
                <w:between w:val="nil"/>
              </w:pBdr>
              <w:rPr>
                <w:rFonts w:ascii="Century Gothic" w:eastAsia="Century Gothic" w:hAnsi="Century Gothic"/>
                <w:color w:val="000000"/>
                <w:sz w:val="20"/>
              </w:rPr>
            </w:pPr>
          </w:p>
        </w:tc>
        <w:tc>
          <w:tcPr>
            <w:tcW w:w="1440" w:type="dxa"/>
            <w:vMerge/>
            <w:tcMar>
              <w:top w:w="80" w:type="dxa"/>
              <w:left w:w="80" w:type="dxa"/>
              <w:bottom w:w="80" w:type="dxa"/>
              <w:right w:w="80" w:type="dxa"/>
            </w:tcMar>
          </w:tcPr>
          <w:p w14:paraId="6C1F1A43" w14:textId="77777777" w:rsidR="0083552F" w:rsidRPr="0099743C" w:rsidRDefault="0083552F" w:rsidP="0099743C">
            <w:pPr>
              <w:widowControl w:val="0"/>
              <w:pBdr>
                <w:top w:val="nil"/>
                <w:left w:val="nil"/>
                <w:bottom w:val="nil"/>
                <w:right w:val="nil"/>
                <w:between w:val="nil"/>
              </w:pBdr>
              <w:rPr>
                <w:rFonts w:ascii="Century Gothic" w:eastAsia="Century Gothic" w:hAnsi="Century Gothic"/>
                <w:color w:val="000000"/>
                <w:sz w:val="20"/>
              </w:rPr>
            </w:pPr>
          </w:p>
        </w:tc>
        <w:tc>
          <w:tcPr>
            <w:tcW w:w="720" w:type="dxa"/>
            <w:vMerge/>
            <w:tcMar>
              <w:top w:w="80" w:type="dxa"/>
              <w:left w:w="80" w:type="dxa"/>
              <w:bottom w:w="80" w:type="dxa"/>
              <w:right w:w="80" w:type="dxa"/>
            </w:tcMar>
          </w:tcPr>
          <w:p w14:paraId="6C1F1A44" w14:textId="77777777" w:rsidR="0083552F" w:rsidRPr="0099743C" w:rsidRDefault="0083552F" w:rsidP="0099743C">
            <w:pPr>
              <w:widowControl w:val="0"/>
              <w:pBdr>
                <w:top w:val="nil"/>
                <w:left w:val="nil"/>
                <w:bottom w:val="nil"/>
                <w:right w:val="nil"/>
                <w:between w:val="nil"/>
              </w:pBdr>
              <w:rPr>
                <w:rFonts w:ascii="Century Gothic" w:eastAsia="Century Gothic" w:hAnsi="Century Gothic"/>
                <w:color w:val="000000"/>
                <w:sz w:val="20"/>
              </w:rPr>
            </w:pPr>
          </w:p>
        </w:tc>
        <w:tc>
          <w:tcPr>
            <w:tcW w:w="3600" w:type="dxa"/>
            <w:shd w:val="clear" w:color="auto" w:fill="auto"/>
            <w:tcMar>
              <w:top w:w="80" w:type="dxa"/>
              <w:left w:w="80" w:type="dxa"/>
              <w:bottom w:w="80" w:type="dxa"/>
              <w:right w:w="80" w:type="dxa"/>
            </w:tcMar>
          </w:tcPr>
          <w:p w14:paraId="5F7B30CF" w14:textId="630D1C84" w:rsidR="000B6970" w:rsidRPr="000B6970" w:rsidRDefault="0083552F" w:rsidP="000B6970">
            <w:pPr>
              <w:pBdr>
                <w:top w:val="nil"/>
                <w:left w:val="nil"/>
                <w:bottom w:val="nil"/>
                <w:right w:val="nil"/>
                <w:between w:val="nil"/>
              </w:pBdr>
              <w:jc w:val="both"/>
              <w:rPr>
                <w:rFonts w:ascii="Arial Narrow" w:eastAsia="Arial Narrow" w:hAnsi="Arial Narrow"/>
                <w:color w:val="000000"/>
                <w:sz w:val="18"/>
                <w:lang w:bidi="en-US"/>
              </w:rPr>
            </w:pPr>
            <w:r w:rsidRPr="0099743C">
              <w:rPr>
                <w:rFonts w:ascii="Arial Narrow" w:eastAsia="Arial Narrow" w:hAnsi="Arial Narrow"/>
                <w:color w:val="000000"/>
                <w:sz w:val="18"/>
              </w:rPr>
              <w:t xml:space="preserve">Risk Treatment 3: </w:t>
            </w:r>
            <w:r w:rsidR="000B6970" w:rsidRPr="000B6970">
              <w:rPr>
                <w:rFonts w:ascii="Arial Narrow" w:eastAsia="Arial Narrow" w:hAnsi="Arial Narrow"/>
                <w:color w:val="000000"/>
                <w:sz w:val="18"/>
                <w:lang w:bidi="en-US"/>
              </w:rPr>
              <w:t>The project will focus on enhancing locally driven disaster preparedness and response related to uranium tailings and potential seismic activities. If needed, it will involve design of contingency/DRR plans as part of the pilot projects.</w:t>
            </w:r>
          </w:p>
          <w:p w14:paraId="4701428B" w14:textId="140C5D0E" w:rsidR="0083552F" w:rsidRDefault="0083552F" w:rsidP="0099743C">
            <w:pPr>
              <w:pBdr>
                <w:top w:val="nil"/>
                <w:left w:val="nil"/>
                <w:bottom w:val="nil"/>
                <w:right w:val="nil"/>
                <w:between w:val="nil"/>
              </w:pBdr>
              <w:jc w:val="both"/>
              <w:rPr>
                <w:rFonts w:ascii="Arial Narrow" w:eastAsia="Arial Narrow" w:hAnsi="Arial Narrow"/>
                <w:color w:val="000000"/>
                <w:sz w:val="18"/>
                <w:lang w:bidi="en-US"/>
              </w:rPr>
            </w:pPr>
          </w:p>
          <w:p w14:paraId="6C1F1A46" w14:textId="6A6CA16C" w:rsidR="0083552F" w:rsidRPr="00683E85" w:rsidRDefault="0083552F" w:rsidP="0099743C">
            <w:pPr>
              <w:pBdr>
                <w:top w:val="nil"/>
                <w:left w:val="nil"/>
                <w:bottom w:val="nil"/>
                <w:right w:val="nil"/>
                <w:between w:val="nil"/>
              </w:pBdr>
              <w:jc w:val="both"/>
              <w:rPr>
                <w:rFonts w:ascii="Arial Narrow" w:eastAsia="Arial Narrow" w:hAnsi="Arial Narrow"/>
                <w:color w:val="000000"/>
                <w:sz w:val="18"/>
              </w:rPr>
            </w:pPr>
            <w:r w:rsidRPr="0099743C">
              <w:rPr>
                <w:rFonts w:ascii="Arial Narrow" w:eastAsia="Arial Narrow" w:hAnsi="Arial Narrow"/>
                <w:color w:val="000000"/>
                <w:sz w:val="18"/>
              </w:rPr>
              <w:t>Risk Treatment Owner:</w:t>
            </w:r>
            <w:r w:rsidR="00683E85">
              <w:rPr>
                <w:rFonts w:ascii="Arial Narrow" w:eastAsia="Arial Narrow" w:hAnsi="Arial Narrow"/>
                <w:color w:val="000000"/>
                <w:sz w:val="18"/>
              </w:rPr>
              <w:t xml:space="preserve"> IRH, UNDP COs</w:t>
            </w:r>
          </w:p>
        </w:tc>
      </w:tr>
      <w:tr w:rsidR="0099743C" w14:paraId="6C1F1A5C" w14:textId="77777777" w:rsidTr="004707EE">
        <w:trPr>
          <w:trHeight w:val="20"/>
        </w:trPr>
        <w:tc>
          <w:tcPr>
            <w:tcW w:w="360" w:type="dxa"/>
            <w:shd w:val="clear" w:color="auto" w:fill="auto"/>
            <w:tcMar>
              <w:top w:w="80" w:type="dxa"/>
              <w:left w:w="80" w:type="dxa"/>
              <w:bottom w:w="80" w:type="dxa"/>
              <w:right w:w="80" w:type="dxa"/>
            </w:tcMar>
          </w:tcPr>
          <w:p w14:paraId="6C1F1A48" w14:textId="795427B4" w:rsidR="006A5951" w:rsidRPr="0099743C" w:rsidRDefault="00F06390" w:rsidP="0099743C">
            <w:pPr>
              <w:pBdr>
                <w:top w:val="nil"/>
                <w:left w:val="nil"/>
                <w:bottom w:val="nil"/>
                <w:right w:val="nil"/>
                <w:between w:val="nil"/>
              </w:pBdr>
              <w:jc w:val="both"/>
              <w:rPr>
                <w:rFonts w:ascii="Century Gothic" w:eastAsia="Century Gothic" w:hAnsi="Century Gothic"/>
                <w:color w:val="000000"/>
                <w:sz w:val="18"/>
              </w:rPr>
            </w:pPr>
            <w:r>
              <w:rPr>
                <w:rFonts w:ascii="Arial Narrow" w:eastAsia="Arial Narrow" w:hAnsi="Arial Narrow"/>
                <w:color w:val="000000"/>
                <w:sz w:val="18"/>
              </w:rPr>
              <w:lastRenderedPageBreak/>
              <w:t>3</w:t>
            </w:r>
          </w:p>
        </w:tc>
        <w:tc>
          <w:tcPr>
            <w:tcW w:w="2070" w:type="dxa"/>
            <w:shd w:val="clear" w:color="auto" w:fill="auto"/>
            <w:tcMar>
              <w:top w:w="80" w:type="dxa"/>
              <w:left w:w="80" w:type="dxa"/>
              <w:bottom w:w="80" w:type="dxa"/>
              <w:right w:w="80" w:type="dxa"/>
            </w:tcMar>
          </w:tcPr>
          <w:p w14:paraId="6C1F1A49" w14:textId="2D980CF2" w:rsidR="006A5951" w:rsidRPr="0099743C" w:rsidRDefault="006A5951" w:rsidP="0099743C">
            <w:pPr>
              <w:pBdr>
                <w:top w:val="nil"/>
                <w:left w:val="nil"/>
                <w:bottom w:val="nil"/>
                <w:right w:val="nil"/>
                <w:between w:val="nil"/>
              </w:pBdr>
              <w:jc w:val="both"/>
              <w:rPr>
                <w:rFonts w:ascii="Century Gothic" w:eastAsia="Century Gothic" w:hAnsi="Century Gothic"/>
                <w:color w:val="000000"/>
                <w:sz w:val="18"/>
              </w:rPr>
            </w:pPr>
            <w:r w:rsidRPr="0099743C">
              <w:rPr>
                <w:rFonts w:ascii="Arial Narrow" w:eastAsia="Arial Narrow" w:hAnsi="Arial Narrow"/>
                <w:color w:val="000000"/>
                <w:sz w:val="18"/>
              </w:rPr>
              <w:t xml:space="preserve">There is a risk that </w:t>
            </w:r>
            <w:r w:rsidR="0083552F" w:rsidRPr="0083552F">
              <w:rPr>
                <w:rFonts w:ascii="Arial Narrow" w:eastAsia="Arial Narrow" w:hAnsi="Arial Narrow"/>
                <w:color w:val="000000"/>
                <w:sz w:val="18"/>
                <w:lang w:val="en-GB"/>
              </w:rPr>
              <w:t xml:space="preserve">implementation of the </w:t>
            </w:r>
            <w:r w:rsidR="0083552F">
              <w:rPr>
                <w:rFonts w:ascii="Arial Narrow" w:eastAsia="Arial Narrow" w:hAnsi="Arial Narrow"/>
                <w:color w:val="000000"/>
                <w:sz w:val="18"/>
                <w:lang w:val="en-GB"/>
              </w:rPr>
              <w:t>Project can be hindered</w:t>
            </w:r>
            <w:r w:rsidR="0083552F" w:rsidRPr="0083552F">
              <w:rPr>
                <w:rFonts w:ascii="Arial Narrow" w:eastAsia="Arial Narrow" w:hAnsi="Arial Narrow"/>
                <w:color w:val="000000"/>
                <w:sz w:val="18"/>
                <w:lang w:val="en-GB"/>
              </w:rPr>
              <w:t xml:space="preserve"> or the exclusion of one of the countries from the project</w:t>
            </w:r>
            <w:r w:rsidR="0083552F">
              <w:rPr>
                <w:rFonts w:ascii="Arial Narrow" w:eastAsia="Arial Narrow" w:hAnsi="Arial Narrow"/>
                <w:color w:val="000000"/>
                <w:sz w:val="18"/>
                <w:lang w:val="en-GB"/>
              </w:rPr>
              <w:t xml:space="preserve"> can be </w:t>
            </w:r>
            <w:r w:rsidR="0083552F" w:rsidRPr="0083552F">
              <w:rPr>
                <w:rFonts w:ascii="Arial Narrow" w:eastAsia="Arial Narrow" w:hAnsi="Arial Narrow"/>
                <w:color w:val="000000"/>
                <w:sz w:val="18"/>
                <w:lang w:val="en-GB"/>
              </w:rPr>
              <w:t>provoke</w:t>
            </w:r>
            <w:r w:rsidR="0083552F">
              <w:rPr>
                <w:rFonts w:ascii="Arial Narrow" w:eastAsia="Arial Narrow" w:hAnsi="Arial Narrow"/>
                <w:color w:val="000000"/>
                <w:sz w:val="18"/>
                <w:lang w:val="en-GB"/>
              </w:rPr>
              <w:t>d.</w:t>
            </w:r>
          </w:p>
        </w:tc>
        <w:tc>
          <w:tcPr>
            <w:tcW w:w="2070" w:type="dxa"/>
            <w:shd w:val="clear" w:color="auto" w:fill="auto"/>
            <w:tcMar>
              <w:top w:w="80" w:type="dxa"/>
              <w:left w:w="80" w:type="dxa"/>
              <w:bottom w:w="80" w:type="dxa"/>
              <w:right w:w="80" w:type="dxa"/>
            </w:tcMar>
          </w:tcPr>
          <w:p w14:paraId="6C1F1A4A" w14:textId="18144FAB" w:rsidR="006A5951" w:rsidRPr="0099743C" w:rsidRDefault="006A5951" w:rsidP="0099743C">
            <w:pPr>
              <w:pBdr>
                <w:top w:val="nil"/>
                <w:left w:val="nil"/>
                <w:bottom w:val="nil"/>
                <w:right w:val="nil"/>
                <w:between w:val="nil"/>
              </w:pBdr>
              <w:jc w:val="both"/>
              <w:rPr>
                <w:rFonts w:ascii="Century Gothic" w:eastAsia="Century Gothic" w:hAnsi="Century Gothic"/>
                <w:color w:val="000000"/>
                <w:sz w:val="18"/>
              </w:rPr>
            </w:pPr>
            <w:r w:rsidRPr="0099743C">
              <w:rPr>
                <w:rFonts w:ascii="Arial Narrow" w:eastAsia="Arial Narrow" w:hAnsi="Arial Narrow"/>
                <w:color w:val="000000"/>
                <w:sz w:val="18"/>
              </w:rPr>
              <w:t>As a result of</w:t>
            </w:r>
            <w:r w:rsidR="0083552F">
              <w:rPr>
                <w:rFonts w:ascii="Arial Narrow" w:eastAsia="Arial Narrow" w:hAnsi="Arial Narrow"/>
                <w:color w:val="000000"/>
                <w:sz w:val="18"/>
              </w:rPr>
              <w:t xml:space="preserve"> </w:t>
            </w:r>
            <w:r w:rsidR="0083552F">
              <w:rPr>
                <w:rFonts w:ascii="Arial Narrow" w:eastAsia="Arial Narrow" w:hAnsi="Arial Narrow"/>
                <w:color w:val="000000"/>
                <w:sz w:val="18"/>
                <w:lang w:val="en-GB"/>
              </w:rPr>
              <w:t>p</w:t>
            </w:r>
            <w:r w:rsidR="0083552F" w:rsidRPr="0083552F">
              <w:rPr>
                <w:rFonts w:ascii="Arial Narrow" w:eastAsia="Arial Narrow" w:hAnsi="Arial Narrow"/>
                <w:color w:val="000000"/>
                <w:sz w:val="18"/>
                <w:lang w:val="en-GB"/>
              </w:rPr>
              <w:t>ossible political changes</w:t>
            </w:r>
            <w:r w:rsidR="0083552F">
              <w:rPr>
                <w:rFonts w:ascii="Arial Narrow" w:eastAsia="Arial Narrow" w:hAnsi="Arial Narrow"/>
                <w:color w:val="000000"/>
                <w:sz w:val="18"/>
                <w:lang w:val="en-GB"/>
              </w:rPr>
              <w:t xml:space="preserve"> </w:t>
            </w:r>
            <w:r w:rsidR="0083552F" w:rsidRPr="0083552F">
              <w:rPr>
                <w:rFonts w:ascii="Arial Narrow" w:eastAsia="Arial Narrow" w:hAnsi="Arial Narrow"/>
                <w:color w:val="000000"/>
                <w:sz w:val="18"/>
                <w:lang w:val="en-GB"/>
              </w:rPr>
              <w:t>at the country, regional, or even global level</w:t>
            </w:r>
            <w:r w:rsidR="0083552F">
              <w:rPr>
                <w:rFonts w:ascii="Arial Narrow" w:eastAsia="Arial Narrow" w:hAnsi="Arial Narrow"/>
                <w:color w:val="000000"/>
                <w:sz w:val="18"/>
                <w:lang w:val="en-GB"/>
              </w:rPr>
              <w:t>s</w:t>
            </w:r>
            <w:r w:rsidR="000F303D">
              <w:rPr>
                <w:rFonts w:ascii="Arial Narrow" w:eastAsia="Arial Narrow" w:hAnsi="Arial Narrow"/>
                <w:color w:val="000000"/>
                <w:sz w:val="18"/>
                <w:lang w:val="en-GB"/>
              </w:rPr>
              <w:t>.</w:t>
            </w:r>
          </w:p>
        </w:tc>
        <w:tc>
          <w:tcPr>
            <w:tcW w:w="2160" w:type="dxa"/>
            <w:shd w:val="clear" w:color="auto" w:fill="auto"/>
            <w:tcMar>
              <w:top w:w="80" w:type="dxa"/>
              <w:left w:w="80" w:type="dxa"/>
              <w:bottom w:w="80" w:type="dxa"/>
              <w:right w:w="80" w:type="dxa"/>
            </w:tcMar>
          </w:tcPr>
          <w:p w14:paraId="6C1F1A4B" w14:textId="33136764" w:rsidR="006A5951" w:rsidRPr="0099743C" w:rsidRDefault="006A5951" w:rsidP="0099743C">
            <w:pPr>
              <w:pBdr>
                <w:top w:val="nil"/>
                <w:left w:val="nil"/>
                <w:bottom w:val="nil"/>
                <w:right w:val="nil"/>
                <w:between w:val="nil"/>
              </w:pBdr>
              <w:jc w:val="both"/>
              <w:rPr>
                <w:rFonts w:ascii="Century Gothic" w:eastAsia="Century Gothic" w:hAnsi="Century Gothic"/>
                <w:color w:val="000000"/>
                <w:sz w:val="18"/>
              </w:rPr>
            </w:pPr>
            <w:r w:rsidRPr="0099743C">
              <w:rPr>
                <w:rFonts w:ascii="Arial Narrow" w:eastAsia="Arial Narrow" w:hAnsi="Arial Narrow"/>
                <w:color w:val="000000"/>
                <w:sz w:val="18"/>
              </w:rPr>
              <w:t xml:space="preserve">Which will </w:t>
            </w:r>
            <w:r w:rsidR="0083552F">
              <w:rPr>
                <w:rFonts w:ascii="Arial Narrow" w:eastAsia="Arial Narrow" w:hAnsi="Arial Narrow"/>
                <w:color w:val="000000"/>
                <w:sz w:val="18"/>
              </w:rPr>
              <w:t>partially affect full attainment of the project’s objective and its indicators</w:t>
            </w:r>
            <w:r w:rsidR="00470E42">
              <w:rPr>
                <w:rFonts w:ascii="Arial Narrow" w:eastAsia="Arial Narrow" w:hAnsi="Arial Narrow"/>
                <w:color w:val="000000"/>
                <w:sz w:val="18"/>
              </w:rPr>
              <w:t>.</w:t>
            </w:r>
          </w:p>
        </w:tc>
        <w:tc>
          <w:tcPr>
            <w:tcW w:w="1800" w:type="dxa"/>
            <w:shd w:val="clear" w:color="auto" w:fill="auto"/>
            <w:tcMar>
              <w:top w:w="80" w:type="dxa"/>
              <w:left w:w="80" w:type="dxa"/>
              <w:bottom w:w="80" w:type="dxa"/>
              <w:right w:w="80" w:type="dxa"/>
            </w:tcMar>
          </w:tcPr>
          <w:sdt>
            <w:sdtPr>
              <w:rPr>
                <w:rFonts w:ascii="Arial Narrow" w:hAnsi="Arial Narrow"/>
                <w:b/>
                <w:bCs/>
                <w:sz w:val="20"/>
                <w:szCs w:val="20"/>
                <w:highlight w:val="lightGray"/>
              </w:rPr>
              <w:alias w:val="Select Risk Categories and Sub-categories"/>
              <w:tag w:val="Select Risk Categories and Sub-categories"/>
              <w:id w:val="-1606794316"/>
              <w:placeholder>
                <w:docPart w:val="C5B814C7A8A1469399351A4CD834AD35"/>
              </w:placeholder>
              <w:dropDownList>
                <w:listItem w:displayText="PLEASE SELECT" w:value="PLEASE SELECT"/>
                <w:listItem w:displayText="1. SOCIAL AND ENVIRONMENTAL (1.1. Human rights) - UNDP Risk Appetite: CAUTIOUS" w:value="1. SOCIAL AND ENVIRONMENTAL (1.1. Human rights) - UNDP Risk Appetite: CAUTIOUS"/>
                <w:listItem w:displayText="1. SOCIAL AND ENVIRONMENTAL (1.2. Gender equality and women’s empowerment) - UNDP Risk Appetite: CAUTIOUS" w:value="1. SOCIAL AND ENVIRONMENTAL (1.2. Gender equality and women’s empowerment) - UNDP Risk Appetite: CAUTIOUS"/>
                <w:listItem w:displayText="1. SOCIAL AND ENVIRONMENTAL (1.3. Grievances (Accountability to stakeholders)) - UNDP Risk Appetite: CAUTIOUS" w:value="1. SOCIAL AND ENVIRONMENTAL (1.3. Grievances (Accountability to stakeholders)) - UNDP Risk Appetite: CAUTIOUS"/>
                <w:listItem w:displayText="1. SOCIAL AND ENVIRONMENTAL (1.4. Biodiversity conservation and sustainable natural resource management) - UNDP Risk Appetite: CAUTIOUS" w:value="1. SOCIAL AND ENVIRONMENTAL (1.4. Biodiversity conservation and sustainable natural resource management) - UNDP Risk Appetite: CAUTIOUS"/>
                <w:listItem w:displayText="1. SOCIAL AND ENVIRONMENTAL (1.5. Climate change and disaster risks) - UNDP Risk Appetite: CAUTIOUS" w:value="1. SOCIAL AND ENVIRONMENTAL (1.5. Climate change and disaster risks) - UNDP Risk Appetite: CAUTIOUS"/>
                <w:listItem w:displayText="1. SOCIAL AND ENVIRONMENTAL (1.6. Community health, safety and security) - UNDP Risk Appetite: CAUTIOUS" w:value="1. SOCIAL AND ENVIRONMENTAL (1.6. Community health, safety and security) - UNDP Risk Appetite: CAUTIOUS"/>
                <w:listItem w:displayText="1. SOCIAL AND ENVIRONMENTAL (1.7. Cultural heritage) - UNDP Risk Appetite: CAUTIOUS" w:value="1. SOCIAL AND ENVIRONMENTAL (1.7. Cultural heritage) - UNDP Risk Appetite: CAUTIOUS"/>
                <w:listItem w:displayText="1. SOCIAL AND ENVIRONMENTAL (1.8. Displacement and resettlement) - UNDP Risk Appetite: CAUTIOUS" w:value="1. SOCIAL AND ENVIRONMENTAL (1.8. Displacement and resettlement) - UNDP Risk Appetite: CAUTIOUS"/>
                <w:listItem w:displayText="1. SOCIAL AND ENVIRONMENTAL (1.9. Indigenous peoples) - UNDP Risk Appetite: CAUTIOUS" w:value="1. SOCIAL AND ENVIRONMENTAL (1.9. Indigenous peoples) - UNDP Risk Appetite: CAUTIOUS"/>
                <w:listItem w:displayText="1. SOCIAL AND ENVIRONMENTAL (1.10. Labour and working conditions) - UNDP Risk Appetite: CAUTIOUS" w:value="1. SOCIAL AND ENVIRONMENTAL (1.10. Labour and working conditions) - UNDP Risk Appetite: CAUTIOUS"/>
                <w:listItem w:displayText="1. SOCIAL AND ENVIRONMENTAL (1.11. Pollution prevention and resource efficiency) - UNDP Risk Appetite: CAUTIOUS" w:value="1. SOCIAL AND ENVIRONMENTAL (1.11. Pollution prevention and resource efficiency) - UNDP Risk Appetite: CAUTIOUS"/>
                <w:listItem w:displayText="1. SOCIAL AND ENVIRONMENTAL (1.12. Stakeholder engagement) - UNDP Risk Appetite: CAUTIOUS" w:value="1. SOCIAL AND ENVIRONMENTAL (1.12. Stakeholder engagement) - UNDP Risk Appetite: CAUTIOUS"/>
                <w:listItem w:displayText="1. SOCIAL AND ENVIRONMENTAL (1.13. Sexual exploitation and abuse) - UNDP Risk Appetite: CAUTIOUS" w:value="1. SOCIAL AND ENVIRONMENTAL (1.13. Sexual exploitation and abuse) - UNDP Risk Appetite: CAUTIOUS"/>
                <w:listItem w:displayText="2. FINANCIAL (2.1. Cost recovery) - UNDP Risk Appetite: MINIMAL TO CAUTIOUS" w:value="2. FINANCIAL (2.1. Cost recovery) - UNDP Risk Appetite: MINIMAL TO CAUTIOUS"/>
                <w:listItem w:displayText="2. FINANCIAL (2.2. Value for money) - UNDP Risk Appetite: MINIMAL TO CAUTIOUS" w:value="2. FINANCIAL (2.2. Value for money) - UNDP Risk Appetite: MINIMAL TO CAUTIOUS"/>
                <w:listItem w:displayText="2. FINANCIAL (2.3. Corruption and fraud) - UNDP Risk Appetite: MINIMAL TO CAUTIOUS" w:value="2. FINANCIAL (2.3. Corruption and fraud) - UNDP Risk Appetite: MINIMAL TO CAUTIOUS"/>
                <w:listItem w:displayText="2. FINANCIAL (2.4. Fluctuation in credit rate, market, currency) - UNDP Risk Appetite: MINIMAL TO CAUTIOUS" w:value="2. FINANCIAL (2.4. Fluctuation in credit rate, market, currency) - UNDP Risk Appetite: MINIMAL TO CAUTIOUS"/>
                <w:listItem w:displayText="2. FINANCIAL (2.5. Delivery) - UNDP Risk Appetite: MINIMAL TO CAUTIOUS" w:value="2. FINANCIAL (2.5. Delivery) - UNDP Risk Appetite: MINIMAL TO CAUTIOUS"/>
                <w:listItem w:displayText="2. FINANCIAL (2.6. Budget availability and cash flow) - UNDP Risk Appetite: MINIMAL TO CAUTIOUS" w:value="2. FINANCIAL (2.6. Budget availability and cash flow) - UNDP Risk Appetite: MINIMAL TO CAUTIOUS"/>
                <w:listItem w:displayText="3. OPERATIONAL (3.1. Responsiveness to audit and evaluations (Delays in the conduct of and implementation of recommendations)) - UNDP Risk Appetite: EXPLORATORY TO OPEN" w:value="3. OPERATIONAL (3.1. Responsiveness to audit and evaluations (Delays in the conduct of and implementation of recommendations)) - UNDP Risk Appetite: EXPLORATORY TO OPEN"/>
                <w:listItem w:displayText="3. OPERATIONAL (3.2. Leadership and management) - UNDP Risk Appetite: EXPLORATORY TO OPEN" w:value="3. OPERATIONAL (3.2. Leadership and management) - UNDP Risk Appetite: EXPLORATORY TO OPEN"/>
                <w:listItem w:displayText="3. OPERATIONAL (3.3. Flexibility and opportunity management) - UNDP Risk Appetite: EXPLORATORY TO OPEN" w:value="3. OPERATIONAL (3.3. Flexibility and opportunity management) - UNDP Risk Appetite: EXPLORATORY TO OPEN"/>
                <w:listItem w:displayText="3. OPERATIONAL (3.4. Reporting and communication) - UNDP Risk Appetite: EXPLORATORY TO OPEN" w:value="3. OPERATIONAL (3.4. Reporting and communication) - UNDP Risk Appetite: EXPLORATORY TO OPEN"/>
                <w:listItem w:displayText="3. OPERATIONAL (3.5. Partners’ engagement) - UNDP Risk Appetite: EXPLORATORY TO OPEN" w:value="3. OPERATIONAL (3.5. Partners’ engagement) - UNDP Risk Appetite: EXPLORATORY TO OPEN"/>
                <w:listItem w:displayText="3. OPERATIONAL (3.6. Transition and exit strategy) - UNDP Risk Appetite: EXPLORATORY TO OPEN" w:value="3. OPERATIONAL (3.6. Transition and exit strategy) - UNDP Risk Appetite: EXPLORATORY TO OPEN"/>
                <w:listItem w:displayText="3. OPERATIONAL (3.7. Occupational safety, health and well-being) - UNDP Risk Appetite: EXPLORATORY TO OPEN" w:value="3. OPERATIONAL (3.7. Occupational safety, health and well-being) - UNDP Risk Appetite: EXPLORATORY TO OPEN"/>
                <w:listItem w:displayText="3. OPERATIONAL (3.8. Capacities of the partners) - UNDP Risk Appetite: EXPLORATORY TO OPEN" w:value="3. OPERATIONAL (3.8. Capacities of the partners) - UNDP Risk Appetite: EXPLORATORY TO OPEN"/>
                <w:listItem w:displayText="4. ORGANIZATIONAL (4.1. Governance) - UNDP Risk Appetite: EXPLORATORY TO OPEN" w:value="4. ORGANIZATIONAL (4.1. Governance) - UNDP Risk Appetite: EXPLORATORY TO OPEN"/>
                <w:listItem w:displayText="4. ORGANIZATIONAL (4.2. Execution capacity) - UNDP Risk Appetite: EXPLORATORY TO OPEN" w:value="4. ORGANIZATIONAL (4.2. Execution capacity) - UNDP Risk Appetite: EXPLORATORY TO OPEN"/>
                <w:listItem w:displayText="4. ORGANIZATIONAL (4.3. Implementation arrangements) - UNDP Risk Appetite: EXPLORATORY TO OPEN" w:value="4. ORGANIZATIONAL (4.3. Implementation arrangements) - UNDP Risk Appetite: EXPLORATORY TO OPEN"/>
                <w:listItem w:displayText="4. ORGANIZATIONAL (4.4. Accountability) - UNDP Risk Appetite: EXPLORATORY TO OPEN" w:value="4. ORGANIZATIONAL (4.4. Accountability) - UNDP Risk Appetite: EXPLORATORY TO OPEN"/>
                <w:listItem w:displayText="4. ORGANIZATIONAL (4.5. Monitoring and oversight) - UNDP Risk Appetite: EXPLORATORY TO OPEN" w:value="4. ORGANIZATIONAL (4.5. Monitoring and oversight) - UNDP Risk Appetite: EXPLORATORY TO OPEN"/>
                <w:listItem w:displayText="4. ORGANIZATIONAL (4.6. Knowledge management) - UNDP Risk Appetite: EXPLORATORY TO OPEN" w:value="4. ORGANIZATIONAL (4.6. Knowledge management) - UNDP Risk Appetite: EXPLORATORY TO OPEN"/>
                <w:listItem w:displayText="4. ORGANIZATIONAL (4.7. Human Resources) - UNDP Risk Appetite: EXPLORATORY TO OPEN" w:value="4. ORGANIZATIONAL (4.7. Human Resources) - UNDP Risk Appetite: EXPLORATORY TO OPEN"/>
                <w:listItem w:displayText="4. ORGANIZATIONAL (4.8. Internal control) - UNDP Risk Appetite: EXPLORATORY TO OPEN" w:value="4. ORGANIZATIONAL (4.8. Internal control) - UNDP Risk Appetite: EXPLORATORY TO OPEN"/>
                <w:listItem w:displayText="4. ORGANIZATIONAL (4.9. Procurement) - UNDP Risk Appetite: EXPLORATORY TO OPEN" w:value="4. ORGANIZATIONAL (4.9. Procurement) - UNDP Risk Appetite: EXPLORATORY TO OPEN"/>
                <w:listItem w:displayText="5. REPUTATIONAL (5.1. Public opinion and media) - UNDP Risk Appetite: CAUTIOUS" w:value="5. REPUTATIONAL (5.1. Public opinion and media) - UNDP Risk Appetite: CAUTIOUS"/>
                <w:listItem w:displayText="5. REPUTATIONAL (5.2. Engagement with private sector partnership) - UNDP Risk Appetite: CAUTIOUS" w:value="5. REPUTATIONAL (5.2. Engagement with private sector partnership) - UNDP Risk Appetite: CAUTIOUS"/>
                <w:listItem w:displayText="5. REPUTATIONAL (5.3. Code of conduct and ethics) - UNDP Risk Appetite: CAUTIOUS" w:value="5. REPUTATIONAL (5.3. Code of conduct and ethics) - UNDP Risk Appetite: CAUTIOUS"/>
                <w:listItem w:displayText="5. REPUTATIONAL (5.4. Communications) - UNDP Risk Appetite: CAUTIOUS" w:value="5. REPUTATIONAL (5.4. Communications) - UNDP Risk Appetite: CAUTIOUS"/>
                <w:listItem w:displayText="5. REPUTATIONAL (5.5. Stakeholder management) - UNDP Risk Appetite: CAUTIOUS" w:value="5. REPUTATIONAL (5.5. Stakeholder management) - UNDP Risk Appetite: CAUTIOUS"/>
                <w:listItem w:displayText="5. REPUTATIONAL (5.6. Exposure to entities involved in money laundering and terrorism financing) - UNDP Risk Appetite: CAUTIOUS" w:value="5. REPUTATIONAL (5.6. Exposure to entities involved in money laundering and terrorism financing) - UNDP Risk Appetite: CAUTIOUS"/>
                <w:listItem w:displayText="6. REGULATORY (6.1. Changes in the regulatory framework within the country of operation) - UNDP Risk Appetite: CAUTIOUS" w:value="6. REGULATORY (6.1. Changes in the regulatory framework within the country of operation) - UNDP Risk Appetite: CAUTIOUS"/>
                <w:listItem w:displayText="6. REGULATORY (6.2. Changes in the international regulatory framework affecting the whole organization) - UNDP Risk Appetite: CAUTIOUS" w:value="6. REGULATORY (6.2. Changes in the international regulatory framework affecting the whole organization) - UNDP Risk Appetite: CAUTIOUS"/>
                <w:listItem w:displayText="6. REGULATORY (6.3. Deviation from UNDP internal rules and regulations) - UNDP Risk Appetite: CAUTIOUS" w:value="6. REGULATORY (6.3. Deviation from UNDP internal rules and regulations) - UNDP Risk Appetite: CAUTIOUS"/>
                <w:listItem w:displayText="7. STRATEGIC (7.1. Alignment with UNDP strategic priorities) - UNDP Risk Appetite: OPEN TO SEEKING" w:value="7. STRATEGIC (7.1. Alignment with UNDP strategic priorities) - UNDP Risk Appetite: OPEN TO SEEKING"/>
                <w:listItem w:displayText="7. STRATEGIC (7.2. UN system coordination and reform) - UNDP Risk Appetite: OPEN TO SEEKING" w:value="7. STRATEGIC (7.2. UN system coordination and reform) - UNDP Risk Appetite: OPEN TO SEEKING"/>
                <w:listItem w:displayText="7. STRATEGIC (7.3. Stakeholder relations and partnerships) - UNDP Risk Appetite: OPEN TO SEEKING" w:value="7. STRATEGIC (7.3. Stakeholder relations and partnerships) - UNDP Risk Appetite: OPEN TO SEEKING"/>
                <w:listItem w:displayText="7. STRATEGIC (7.4. Competition) - UNDP Risk Appetite: OPEN TO SEEKING" w:value="7. STRATEGIC (7.4. Competition) - UNDP Risk Appetite: OPEN TO SEEKING"/>
                <w:listItem w:displayText="7. STRATEGIC (7.5. Government commitment) - UNDP Risk Appetite: OPEN TO SEEKING" w:value="7. STRATEGIC (7.5. Government commitment) - UNDP Risk Appetite: OPEN TO SEEKING"/>
                <w:listItem w:displayText="7. STRATEGIC (7.6. Change/turnover in government) - UNDP Risk Appetite: OPEN TO SEEKING" w:value="7. STRATEGIC (7.6. Change/turnover in government) - UNDP Risk Appetite: OPEN TO SEEKING"/>
                <w:listItem w:displayText="7. STRATEGIC (7.7. Alignment with national priorities) - UNDP Risk Appetite: OPEN TO SEEKING" w:value="7. STRATEGIC (7.7. Alignment with national priorities) - UNDP Risk Appetite: OPEN TO SEEKING"/>
                <w:listItem w:displayText="7. STRATEGIC (7.8. Innovating, piloting, experimenting) - UNDP Risk Appetite: OPEN TO SEEKING" w:value="7. STRATEGIC (7.8. Innovating, piloting, experimenting) - UNDP Risk Appetite: OPEN TO SEEKING"/>
                <w:listItem w:displayText="8. SAFETY AND SECURITY (8.1. Armed conflict) - UNDP Risk Appetite: CAUTIOUS" w:value="8. SAFETY AND SECURITY (8.1. Armed conflict) - UNDP Risk Appetite: CAUTIOUS"/>
                <w:listItem w:displayText="8. SAFETY AND SECURITY (8.2. Political instability) - UNDP Risk Appetite: CAUTIOUS" w:value="8. SAFETY AND SECURITY (8.2. Political instability) - UNDP Risk Appetite: CAUTIOUS"/>
                <w:listItem w:displayText="8. SAFETY AND SECURITY (8.3. Terrorism) - UNDP Risk Appetite: CAUTIOUS" w:value="8. SAFETY AND SECURITY (8.3. Terrorism) - UNDP Risk Appetite: CAUTIOUS"/>
                <w:listItem w:displayText="8. SAFETY AND SECURITY (8.4. Crime) - UNDP Risk Appetite: CAUTIOUS" w:value="8. SAFETY AND SECURITY (8.4. Crime) - UNDP Risk Appetite: CAUTIOUS"/>
                <w:listItem w:displayText="8. SAFETY AND SECURITY (8.5. Civil unrest) - UNDP Risk Appetite: CAUTIOUS" w:value="8. SAFETY AND SECURITY (8.5. Civil unrest) - UNDP Risk Appetite: CAUTIOUS"/>
                <w:listItem w:displayText="8. SAFETY AND SECURITY (8.6. Natural hazards) - UNDP Risk Appetite: CAUTIOUS" w:value="8. SAFETY AND SECURITY (8.6. Natural hazards) - UNDP Risk Appetite: CAUTIOUS"/>
                <w:listItem w:displayText="8. SAFETY AND SECURITY (8.7. Manmade hazards) - UNDP Risk Appetite: CAUTIOUS" w:value="8. SAFETY AND SECURITY (8.7. Manmade hazards) - UNDP Risk Appetite: CAUTIOUS"/>
                <w:listItem w:displayText="8. SAFETY AND SECURITY (8.8. Cyber security and threats) - UNDP Risk Appetite: CAUTIOUS" w:value="8. SAFETY AND SECURITY (8.8. Cyber security and threats) - UNDP Risk Appetite: CAUTIOUS"/>
              </w:dropDownList>
            </w:sdtPr>
            <w:sdtContent>
              <w:p w14:paraId="0A8C880C" w14:textId="6337B3F6" w:rsidR="006A5951" w:rsidRPr="0099743C" w:rsidRDefault="0083552F" w:rsidP="0099743C">
                <w:pPr>
                  <w:spacing w:beforeLines="60" w:before="144" w:afterLines="60" w:after="144"/>
                  <w:contextualSpacing/>
                  <w:rPr>
                    <w:rFonts w:ascii="Arial Narrow" w:hAnsi="Arial Narrow"/>
                    <w:b/>
                    <w:sz w:val="20"/>
                  </w:rPr>
                </w:pPr>
                <w:r>
                  <w:rPr>
                    <w:rFonts w:ascii="Arial Narrow" w:hAnsi="Arial Narrow"/>
                    <w:b/>
                    <w:sz w:val="20"/>
                    <w:highlight w:val="lightGray"/>
                  </w:rPr>
                  <w:t>8. SAFETY AND SECURITY (8.2. Political instability) - UNDP Risk Appetite: CAUTIOUS</w:t>
                </w:r>
              </w:p>
            </w:sdtContent>
          </w:sdt>
          <w:p w14:paraId="6C1F1A4C" w14:textId="2405B8BA" w:rsidR="006A5951" w:rsidRPr="0099743C" w:rsidRDefault="006A5951" w:rsidP="0099743C">
            <w:pPr>
              <w:pBdr>
                <w:top w:val="nil"/>
                <w:left w:val="nil"/>
                <w:bottom w:val="nil"/>
                <w:right w:val="nil"/>
                <w:between w:val="nil"/>
              </w:pBdr>
              <w:rPr>
                <w:rFonts w:ascii="Century Gothic" w:eastAsia="Century Gothic" w:hAnsi="Century Gothic"/>
                <w:color w:val="000000"/>
                <w:sz w:val="18"/>
              </w:rPr>
            </w:pPr>
          </w:p>
        </w:tc>
        <w:tc>
          <w:tcPr>
            <w:tcW w:w="1620" w:type="dxa"/>
            <w:shd w:val="clear" w:color="auto" w:fill="auto"/>
            <w:tcMar>
              <w:top w:w="80" w:type="dxa"/>
              <w:left w:w="80" w:type="dxa"/>
              <w:bottom w:w="80" w:type="dxa"/>
              <w:right w:w="80" w:type="dxa"/>
            </w:tcMar>
          </w:tcPr>
          <w:p w14:paraId="35B769F0" w14:textId="77777777" w:rsidR="006A5951" w:rsidRPr="0099743C" w:rsidRDefault="006A5951" w:rsidP="0099743C">
            <w:pPr>
              <w:spacing w:after="40"/>
              <w:rPr>
                <w:rFonts w:ascii="Arial Narrow" w:hAnsi="Arial Narrow"/>
                <w:sz w:val="20"/>
              </w:rPr>
            </w:pPr>
            <w:r w:rsidRPr="0099743C">
              <w:rPr>
                <w:rFonts w:ascii="Arial Narrow" w:hAnsi="Arial Narrow"/>
                <w:sz w:val="20"/>
              </w:rPr>
              <w:t>Likelihood:</w:t>
            </w:r>
          </w:p>
          <w:p w14:paraId="5867F9EC" w14:textId="4008F808" w:rsidR="006A5951" w:rsidRPr="0099743C" w:rsidRDefault="00000000" w:rsidP="0099743C">
            <w:pPr>
              <w:spacing w:after="40"/>
              <w:rPr>
                <w:rFonts w:ascii="Arial Narrow" w:hAnsi="Arial Narrow"/>
                <w:b/>
                <w:sz w:val="20"/>
              </w:rPr>
            </w:pPr>
            <w:sdt>
              <w:sdtPr>
                <w:rPr>
                  <w:rFonts w:ascii="Arial Narrow" w:hAnsi="Arial Narrow"/>
                  <w:b/>
                  <w:sz w:val="20"/>
                  <w:highlight w:val="lightGray"/>
                </w:rPr>
                <w:alias w:val="Select Likelihood Level"/>
                <w:tag w:val="Select Likelihood Level"/>
                <w:id w:val="-1712643521"/>
                <w:placeholder>
                  <w:docPart w:val="3C603C689A3E4B92B6F9D0908BA9E58B"/>
                </w:placeholder>
                <w:dropDownList>
                  <w:listItem w:displayText="PLEASE SELECT" w:value="PLEASE SELECT"/>
                  <w:listItem w:displayText="1 - Not likely" w:value="1 - Not likely"/>
                  <w:listItem w:displayText="2 - Low likelihood" w:value="2 - Low likelihood"/>
                  <w:listItem w:displayText="3 - Moderately likely" w:value="3 - Moderately likely"/>
                  <w:listItem w:displayText="4 - Highly likely" w:value="4 - Highly likely"/>
                  <w:listItem w:displayText="5 - Expected" w:value="5 - Expected"/>
                </w:dropDownList>
              </w:sdtPr>
              <w:sdtContent>
                <w:r w:rsidR="0083552F">
                  <w:rPr>
                    <w:rFonts w:ascii="Arial Narrow" w:hAnsi="Arial Narrow"/>
                    <w:b/>
                    <w:sz w:val="20"/>
                    <w:highlight w:val="lightGray"/>
                  </w:rPr>
                  <w:t>2 - Low likelihood</w:t>
                </w:r>
              </w:sdtContent>
            </w:sdt>
          </w:p>
          <w:p w14:paraId="27EBB57E" w14:textId="77777777" w:rsidR="006A5951" w:rsidRPr="0099743C" w:rsidRDefault="006A5951" w:rsidP="0099743C">
            <w:pPr>
              <w:spacing w:after="40"/>
              <w:rPr>
                <w:rFonts w:ascii="Arial Narrow" w:hAnsi="Arial Narrow"/>
                <w:sz w:val="20"/>
              </w:rPr>
            </w:pPr>
            <w:r w:rsidRPr="0099743C">
              <w:rPr>
                <w:rFonts w:ascii="Arial Narrow" w:hAnsi="Arial Narrow"/>
                <w:sz w:val="20"/>
              </w:rPr>
              <w:t xml:space="preserve">Impact: </w:t>
            </w:r>
          </w:p>
          <w:p w14:paraId="189E65B0" w14:textId="70615549" w:rsidR="006A5951" w:rsidRPr="0099743C" w:rsidRDefault="00000000" w:rsidP="0099743C">
            <w:pPr>
              <w:spacing w:after="40"/>
              <w:rPr>
                <w:rFonts w:ascii="Arial Narrow" w:hAnsi="Arial Narrow"/>
                <w:b/>
                <w:sz w:val="20"/>
                <w:highlight w:val="lightGray"/>
              </w:rPr>
            </w:pPr>
            <w:sdt>
              <w:sdtPr>
                <w:rPr>
                  <w:rFonts w:ascii="Arial Narrow" w:hAnsi="Arial Narrow"/>
                  <w:b/>
                  <w:sz w:val="20"/>
                  <w:highlight w:val="lightGray"/>
                </w:rPr>
                <w:alias w:val="Select Impact Level"/>
                <w:tag w:val="Select Impact Level"/>
                <w:id w:val="126981634"/>
                <w:placeholder>
                  <w:docPart w:val="3C603C689A3E4B92B6F9D0908BA9E58B"/>
                </w:placeholder>
                <w:dropDownList>
                  <w:listItem w:displayText="PLEASE SELECT" w:value="PLEASE SELECT"/>
                  <w:listItem w:displayText="1 - Negligible" w:value="1 - Negligible"/>
                  <w:listItem w:displayText="2 - Minor" w:value="2 - Minor"/>
                  <w:listItem w:displayText="3 - Intermediate" w:value="3 - Intermediate"/>
                  <w:listItem w:displayText="4 - Extensive" w:value="4 - Extensive"/>
                  <w:listItem w:displayText="5 - Extreme" w:value="5 - Extreme"/>
                </w:dropDownList>
              </w:sdtPr>
              <w:sdtContent>
                <w:r w:rsidR="0083552F">
                  <w:rPr>
                    <w:rFonts w:ascii="Arial Narrow" w:hAnsi="Arial Narrow"/>
                    <w:b/>
                    <w:sz w:val="20"/>
                    <w:highlight w:val="lightGray"/>
                  </w:rPr>
                  <w:t>2 - Minor</w:t>
                </w:r>
              </w:sdtContent>
            </w:sdt>
          </w:p>
          <w:p w14:paraId="0FAFCC49" w14:textId="77777777" w:rsidR="006A5951" w:rsidRPr="0099743C" w:rsidRDefault="006A5951" w:rsidP="0099743C">
            <w:pPr>
              <w:spacing w:after="40"/>
              <w:rPr>
                <w:rFonts w:ascii="Arial Narrow" w:hAnsi="Arial Narrow"/>
                <w:sz w:val="20"/>
              </w:rPr>
            </w:pPr>
            <w:r w:rsidRPr="0099743C">
              <w:rPr>
                <w:rFonts w:ascii="Arial Narrow" w:hAnsi="Arial Narrow"/>
                <w:sz w:val="20"/>
              </w:rPr>
              <w:t>Risk level:</w:t>
            </w:r>
          </w:p>
          <w:p w14:paraId="6C1F1A54" w14:textId="17369017" w:rsidR="006A5951" w:rsidRPr="0099743C" w:rsidRDefault="00000000" w:rsidP="0099743C">
            <w:pPr>
              <w:pBdr>
                <w:top w:val="nil"/>
                <w:left w:val="nil"/>
                <w:bottom w:val="nil"/>
                <w:right w:val="nil"/>
                <w:between w:val="nil"/>
              </w:pBdr>
              <w:jc w:val="both"/>
              <w:rPr>
                <w:rFonts w:ascii="Century Gothic" w:eastAsia="Century Gothic" w:hAnsi="Century Gothic"/>
                <w:color w:val="000000"/>
                <w:sz w:val="18"/>
              </w:rPr>
            </w:pPr>
            <w:sdt>
              <w:sdtPr>
                <w:rPr>
                  <w:rFonts w:ascii="Arial Narrow" w:hAnsi="Arial Narrow"/>
                  <w:b/>
                  <w:sz w:val="20"/>
                  <w:highlight w:val="lightGray"/>
                </w:rPr>
                <w:alias w:val="Select Risk Level"/>
                <w:tag w:val="Select Risk Level"/>
                <w:id w:val="476956677"/>
                <w:placeholder>
                  <w:docPart w:val="3C603C689A3E4B92B6F9D0908BA9E58B"/>
                </w:placeholder>
                <w:dropDownList>
                  <w:listItem w:displayText="PLEASE SELECT" w:value="PLEASE SELECT"/>
                  <w:listItem w:displayText="LOW (equates to a risk appetite of MINIMAL)" w:value="LOW (equates to a risk appetite of MINIMAL)"/>
                  <w:listItem w:displayText="LOW (equates to a risk appetite of CAUTIOUS)" w:value="LOW (equates to a risk appetite of CAUTIOUS)"/>
                  <w:listItem w:displayText="MODERATE (equates to a risk appetite of EXPLORATORY)" w:value="MODERATE (equates to a risk appetite of EXPLORATORY)"/>
                  <w:listItem w:displayText="SUBSTANTIAL (equates to a risk appetite of OPEN)" w:value="SUBSTANTIAL (equates to a risk appetite of OPEN)"/>
                  <w:listItem w:displayText="HIGH RISK (equates to a risk appetite of SEEK)" w:value="HIGH RISK (equates to a risk appetite of SEEK)"/>
                </w:dropDownList>
              </w:sdtPr>
              <w:sdtContent>
                <w:r w:rsidR="0083552F">
                  <w:rPr>
                    <w:rFonts w:ascii="Arial Narrow" w:hAnsi="Arial Narrow"/>
                    <w:b/>
                    <w:sz w:val="20"/>
                    <w:highlight w:val="lightGray"/>
                  </w:rPr>
                  <w:t>LOW (equates to a risk appetite of MINIMAL)</w:t>
                </w:r>
              </w:sdtContent>
            </w:sdt>
          </w:p>
        </w:tc>
        <w:tc>
          <w:tcPr>
            <w:tcW w:w="1440" w:type="dxa"/>
            <w:shd w:val="clear" w:color="auto" w:fill="auto"/>
            <w:tcMar>
              <w:top w:w="80" w:type="dxa"/>
              <w:left w:w="80" w:type="dxa"/>
              <w:bottom w:w="80" w:type="dxa"/>
              <w:right w:w="80" w:type="dxa"/>
            </w:tcMar>
          </w:tcPr>
          <w:p w14:paraId="42C5215B" w14:textId="77777777" w:rsidR="006A5951" w:rsidRPr="0099743C" w:rsidRDefault="006A5951" w:rsidP="0099743C">
            <w:pPr>
              <w:spacing w:before="40" w:after="40"/>
              <w:contextualSpacing/>
              <w:rPr>
                <w:rFonts w:ascii="Arial Narrow" w:hAnsi="Arial Narrow"/>
                <w:sz w:val="20"/>
                <w:highlight w:val="lightGray"/>
              </w:rPr>
            </w:pPr>
            <w:r w:rsidRPr="0099743C">
              <w:rPr>
                <w:rFonts w:ascii="Arial Narrow" w:hAnsi="Arial Narrow"/>
                <w:sz w:val="20"/>
              </w:rPr>
              <w:t xml:space="preserve">From: </w:t>
            </w:r>
            <w:sdt>
              <w:sdtPr>
                <w:rPr>
                  <w:rFonts w:ascii="Arial Narrow" w:hAnsi="Arial Narrow"/>
                  <w:sz w:val="20"/>
                  <w:highlight w:val="lightGray"/>
                </w:rPr>
                <w:alias w:val="Select starting date"/>
                <w:tag w:val="Select starting date"/>
                <w:id w:val="-947620608"/>
                <w:placeholder>
                  <w:docPart w:val="978FCEB7800C4670AB5728E85A95AEDB"/>
                </w:placeholder>
                <w:showingPlcHdr/>
                <w:date>
                  <w:dateFormat w:val="dd-MMM-yy"/>
                  <w:lid w:val="en-US"/>
                  <w:storeMappedDataAs w:val="dateTime"/>
                  <w:calendar w:val="gregorian"/>
                </w:date>
              </w:sdtPr>
              <w:sdtContent>
                <w:r w:rsidRPr="0099743C">
                  <w:rPr>
                    <w:rStyle w:val="PlaceholderText"/>
                    <w:rFonts w:ascii="Arial Narrow" w:hAnsi="Arial Narrow"/>
                    <w:b/>
                    <w:sz w:val="20"/>
                    <w:highlight w:val="lightGray"/>
                  </w:rPr>
                  <w:t>Click or tap to enter a date.</w:t>
                </w:r>
              </w:sdtContent>
            </w:sdt>
          </w:p>
          <w:p w14:paraId="1F9D7242" w14:textId="77777777" w:rsidR="006A5951" w:rsidRPr="0099743C" w:rsidRDefault="006A5951" w:rsidP="0099743C">
            <w:pPr>
              <w:spacing w:before="40" w:after="40"/>
              <w:contextualSpacing/>
              <w:rPr>
                <w:rFonts w:ascii="Arial Narrow" w:hAnsi="Arial Narrow"/>
                <w:sz w:val="20"/>
                <w:highlight w:val="lightGray"/>
              </w:rPr>
            </w:pPr>
          </w:p>
          <w:p w14:paraId="6C1F1A57" w14:textId="76350B6A" w:rsidR="006A5951" w:rsidRPr="0099743C" w:rsidRDefault="006A5951" w:rsidP="0099743C">
            <w:pPr>
              <w:pBdr>
                <w:top w:val="nil"/>
                <w:left w:val="nil"/>
                <w:bottom w:val="nil"/>
                <w:right w:val="nil"/>
                <w:between w:val="nil"/>
              </w:pBdr>
              <w:jc w:val="both"/>
              <w:rPr>
                <w:rFonts w:ascii="Century Gothic" w:eastAsia="Century Gothic" w:hAnsi="Century Gothic"/>
                <w:color w:val="000000"/>
                <w:sz w:val="18"/>
              </w:rPr>
            </w:pPr>
            <w:r w:rsidRPr="0099743C">
              <w:rPr>
                <w:rFonts w:ascii="Arial Narrow" w:hAnsi="Arial Narrow"/>
                <w:sz w:val="20"/>
              </w:rPr>
              <w:t xml:space="preserve">To: </w:t>
            </w:r>
            <w:sdt>
              <w:sdtPr>
                <w:rPr>
                  <w:rFonts w:ascii="Arial Narrow" w:hAnsi="Arial Narrow"/>
                  <w:sz w:val="20"/>
                  <w:highlight w:val="lightGray"/>
                </w:rPr>
                <w:alias w:val="Select End Date"/>
                <w:tag w:val="Select End Date"/>
                <w:id w:val="-338612182"/>
                <w:placeholder>
                  <w:docPart w:val="978FCEB7800C4670AB5728E85A95AEDB"/>
                </w:placeholder>
                <w:showingPlcHdr/>
                <w:date>
                  <w:dateFormat w:val="dd-MMM-yy"/>
                  <w:lid w:val="en-US"/>
                  <w:storeMappedDataAs w:val="dateTime"/>
                  <w:calendar w:val="gregorian"/>
                </w:date>
              </w:sdtPr>
              <w:sdtContent>
                <w:r w:rsidRPr="0099743C">
                  <w:rPr>
                    <w:rStyle w:val="PlaceholderText"/>
                    <w:rFonts w:ascii="Arial Narrow" w:hAnsi="Arial Narrow"/>
                    <w:b/>
                    <w:sz w:val="20"/>
                    <w:highlight w:val="lightGray"/>
                  </w:rPr>
                  <w:t>Click or tap to enter a date.</w:t>
                </w:r>
              </w:sdtContent>
            </w:sdt>
          </w:p>
        </w:tc>
        <w:tc>
          <w:tcPr>
            <w:tcW w:w="720" w:type="dxa"/>
            <w:shd w:val="clear" w:color="auto" w:fill="auto"/>
            <w:tcMar>
              <w:top w:w="80" w:type="dxa"/>
              <w:left w:w="80" w:type="dxa"/>
              <w:bottom w:w="80" w:type="dxa"/>
              <w:right w:w="80" w:type="dxa"/>
            </w:tcMar>
          </w:tcPr>
          <w:p w14:paraId="6C1F1A59" w14:textId="2915661E" w:rsidR="006A5951" w:rsidRPr="0099743C" w:rsidRDefault="004A0DCB" w:rsidP="0099743C">
            <w:pPr>
              <w:pBdr>
                <w:top w:val="nil"/>
                <w:left w:val="nil"/>
                <w:bottom w:val="nil"/>
                <w:right w:val="nil"/>
                <w:between w:val="nil"/>
              </w:pBdr>
              <w:jc w:val="both"/>
              <w:rPr>
                <w:rFonts w:ascii="Century Gothic" w:eastAsia="Century Gothic" w:hAnsi="Century Gothic"/>
                <w:color w:val="000000"/>
                <w:sz w:val="18"/>
              </w:rPr>
            </w:pPr>
            <w:r>
              <w:rPr>
                <w:rFonts w:ascii="Arial Narrow" w:eastAsia="Arial Narrow" w:hAnsi="Arial Narrow"/>
                <w:color w:val="000000"/>
                <w:sz w:val="18"/>
              </w:rPr>
              <w:t>IRH, UNDP COs</w:t>
            </w:r>
            <w:r w:rsidRPr="004A0DCB">
              <w:rPr>
                <w:rFonts w:ascii="Arial Narrow" w:eastAsia="Arial Narrow" w:hAnsi="Arial Narrow"/>
                <w:color w:val="000000"/>
                <w:sz w:val="18"/>
              </w:rPr>
              <w:t>, OSCE</w:t>
            </w:r>
          </w:p>
        </w:tc>
        <w:tc>
          <w:tcPr>
            <w:tcW w:w="3600" w:type="dxa"/>
            <w:shd w:val="clear" w:color="auto" w:fill="auto"/>
            <w:tcMar>
              <w:top w:w="80" w:type="dxa"/>
              <w:left w:w="80" w:type="dxa"/>
              <w:bottom w:w="80" w:type="dxa"/>
              <w:right w:w="80" w:type="dxa"/>
            </w:tcMar>
          </w:tcPr>
          <w:p w14:paraId="6C1F1A5A" w14:textId="6FD300E6" w:rsidR="006A5951" w:rsidRPr="0099743C" w:rsidRDefault="006A5951" w:rsidP="0099743C">
            <w:pPr>
              <w:pBdr>
                <w:top w:val="nil"/>
                <w:left w:val="nil"/>
                <w:bottom w:val="nil"/>
                <w:right w:val="nil"/>
                <w:between w:val="nil"/>
              </w:pBdr>
              <w:jc w:val="both"/>
              <w:rPr>
                <w:rFonts w:ascii="Arial Narrow" w:eastAsia="Arial Narrow" w:hAnsi="Arial Narrow"/>
                <w:color w:val="000000"/>
                <w:sz w:val="18"/>
              </w:rPr>
            </w:pPr>
            <w:r w:rsidRPr="0099743C">
              <w:rPr>
                <w:rFonts w:ascii="Arial Narrow" w:eastAsia="Arial Narrow" w:hAnsi="Arial Narrow"/>
                <w:color w:val="000000"/>
                <w:sz w:val="18"/>
              </w:rPr>
              <w:t>Risk Treatment</w:t>
            </w:r>
            <w:r w:rsidR="00F06390">
              <w:rPr>
                <w:rFonts w:ascii="Arial Narrow" w:eastAsia="Arial Narrow" w:hAnsi="Arial Narrow"/>
                <w:color w:val="000000"/>
                <w:sz w:val="18"/>
              </w:rPr>
              <w:t xml:space="preserve"> </w:t>
            </w:r>
            <w:r w:rsidRPr="0099743C">
              <w:rPr>
                <w:rFonts w:ascii="Arial Narrow" w:eastAsia="Arial Narrow" w:hAnsi="Arial Narrow"/>
                <w:color w:val="000000"/>
                <w:sz w:val="18"/>
              </w:rPr>
              <w:t xml:space="preserve">1: </w:t>
            </w:r>
            <w:r w:rsidR="0083552F" w:rsidRPr="0083552F">
              <w:rPr>
                <w:rFonts w:ascii="Arial Narrow" w:eastAsia="Arial Narrow" w:hAnsi="Arial Narrow"/>
                <w:color w:val="000000"/>
                <w:sz w:val="18"/>
                <w:lang w:val="en-GB"/>
              </w:rPr>
              <w:t>To mitigate and minimize this risk, the project will follow the strategy established in the previous project phase. This includes reaffirming the nomination of focal points within Ministries/Agencies of participating countries and actively involving these focal points in project implementation through Project Board meetings, conferences, and other project-related events.</w:t>
            </w:r>
          </w:p>
          <w:p w14:paraId="17A8CC1F" w14:textId="77777777" w:rsidR="0083552F" w:rsidRDefault="0083552F" w:rsidP="0099743C">
            <w:pPr>
              <w:pBdr>
                <w:top w:val="nil"/>
                <w:left w:val="nil"/>
                <w:bottom w:val="nil"/>
                <w:right w:val="nil"/>
                <w:between w:val="nil"/>
              </w:pBdr>
              <w:jc w:val="both"/>
              <w:rPr>
                <w:rFonts w:ascii="Arial Narrow" w:eastAsia="Arial Narrow" w:hAnsi="Arial Narrow"/>
                <w:color w:val="000000"/>
                <w:sz w:val="18"/>
              </w:rPr>
            </w:pPr>
          </w:p>
          <w:p w14:paraId="6C1F1A5B" w14:textId="5F934E23" w:rsidR="006A5951" w:rsidRPr="0099743C" w:rsidRDefault="006A5951" w:rsidP="0099743C">
            <w:pPr>
              <w:pBdr>
                <w:top w:val="nil"/>
                <w:left w:val="nil"/>
                <w:bottom w:val="nil"/>
                <w:right w:val="nil"/>
                <w:between w:val="nil"/>
              </w:pBdr>
              <w:jc w:val="both"/>
              <w:rPr>
                <w:rFonts w:ascii="Century Gothic" w:eastAsia="Century Gothic" w:hAnsi="Century Gothic"/>
                <w:color w:val="000000"/>
                <w:sz w:val="18"/>
              </w:rPr>
            </w:pPr>
            <w:r w:rsidRPr="0099743C">
              <w:rPr>
                <w:rFonts w:ascii="Arial Narrow" w:eastAsia="Arial Narrow" w:hAnsi="Arial Narrow"/>
                <w:color w:val="000000"/>
                <w:sz w:val="18"/>
              </w:rPr>
              <w:t xml:space="preserve">Risk Treatment Owner: </w:t>
            </w:r>
            <w:r w:rsidR="004A0DCB">
              <w:rPr>
                <w:rFonts w:ascii="Arial Narrow" w:eastAsia="Arial Narrow" w:hAnsi="Arial Narrow"/>
                <w:color w:val="000000"/>
                <w:sz w:val="18"/>
              </w:rPr>
              <w:t>IRH, UNDP COs</w:t>
            </w:r>
            <w:r w:rsidR="004A0DCB" w:rsidRPr="004A0DCB">
              <w:rPr>
                <w:rFonts w:ascii="Arial Narrow" w:eastAsia="Arial Narrow" w:hAnsi="Arial Narrow"/>
                <w:color w:val="000000"/>
                <w:sz w:val="18"/>
              </w:rPr>
              <w:t>, OSCE</w:t>
            </w:r>
          </w:p>
        </w:tc>
      </w:tr>
      <w:tr w:rsidR="0099743C" w14:paraId="6C1F1A87" w14:textId="77777777" w:rsidTr="004707EE">
        <w:trPr>
          <w:trHeight w:val="207"/>
        </w:trPr>
        <w:tc>
          <w:tcPr>
            <w:tcW w:w="360" w:type="dxa"/>
            <w:shd w:val="clear" w:color="auto" w:fill="auto"/>
            <w:tcMar>
              <w:top w:w="80" w:type="dxa"/>
              <w:left w:w="80" w:type="dxa"/>
              <w:bottom w:w="80" w:type="dxa"/>
              <w:right w:w="80" w:type="dxa"/>
            </w:tcMar>
          </w:tcPr>
          <w:p w14:paraId="6C1F1A73" w14:textId="65E3FCB9" w:rsidR="006A5951" w:rsidRPr="0099743C" w:rsidRDefault="00F06390" w:rsidP="0099743C">
            <w:pPr>
              <w:pBdr>
                <w:top w:val="nil"/>
                <w:left w:val="nil"/>
                <w:bottom w:val="nil"/>
                <w:right w:val="nil"/>
                <w:between w:val="nil"/>
              </w:pBdr>
              <w:jc w:val="both"/>
              <w:rPr>
                <w:rFonts w:ascii="Century Gothic" w:eastAsia="Century Gothic" w:hAnsi="Century Gothic"/>
                <w:color w:val="000000"/>
                <w:sz w:val="18"/>
              </w:rPr>
            </w:pPr>
            <w:r>
              <w:rPr>
                <w:rFonts w:ascii="Arial Narrow" w:eastAsia="Arial Narrow" w:hAnsi="Arial Narrow"/>
                <w:color w:val="000000"/>
                <w:sz w:val="18"/>
              </w:rPr>
              <w:t>4</w:t>
            </w:r>
          </w:p>
        </w:tc>
        <w:tc>
          <w:tcPr>
            <w:tcW w:w="2070" w:type="dxa"/>
            <w:shd w:val="clear" w:color="auto" w:fill="auto"/>
            <w:tcMar>
              <w:top w:w="80" w:type="dxa"/>
              <w:left w:w="80" w:type="dxa"/>
              <w:bottom w:w="80" w:type="dxa"/>
              <w:right w:w="80" w:type="dxa"/>
            </w:tcMar>
          </w:tcPr>
          <w:p w14:paraId="6C1F1A74" w14:textId="0A722F56" w:rsidR="006A5951" w:rsidRPr="0099743C" w:rsidRDefault="006A5951" w:rsidP="0099743C">
            <w:pPr>
              <w:pBdr>
                <w:top w:val="nil"/>
                <w:left w:val="nil"/>
                <w:bottom w:val="nil"/>
                <w:right w:val="nil"/>
                <w:between w:val="nil"/>
              </w:pBdr>
              <w:jc w:val="both"/>
              <w:rPr>
                <w:rFonts w:ascii="Century Gothic" w:eastAsia="Century Gothic" w:hAnsi="Century Gothic"/>
                <w:color w:val="000000"/>
                <w:sz w:val="18"/>
              </w:rPr>
            </w:pPr>
            <w:r w:rsidRPr="0099743C">
              <w:rPr>
                <w:rFonts w:ascii="Arial Narrow" w:eastAsia="Arial Narrow" w:hAnsi="Arial Narrow"/>
                <w:color w:val="000000"/>
                <w:sz w:val="18"/>
              </w:rPr>
              <w:t>There is a risk</w:t>
            </w:r>
            <w:r w:rsidR="0083552F">
              <w:rPr>
                <w:rFonts w:ascii="Arial Narrow" w:eastAsia="Arial Narrow" w:hAnsi="Arial Narrow"/>
                <w:color w:val="000000"/>
                <w:sz w:val="18"/>
              </w:rPr>
              <w:t xml:space="preserve"> that</w:t>
            </w:r>
            <w:r w:rsidRPr="0099743C">
              <w:rPr>
                <w:rFonts w:ascii="Arial Narrow" w:eastAsia="Arial Narrow" w:hAnsi="Arial Narrow"/>
                <w:color w:val="000000"/>
                <w:sz w:val="18"/>
              </w:rPr>
              <w:t xml:space="preserve"> </w:t>
            </w:r>
            <w:r w:rsidR="0083552F" w:rsidRPr="0083552F">
              <w:rPr>
                <w:rFonts w:ascii="Arial Narrow" w:eastAsia="Arial Narrow" w:hAnsi="Arial Narrow"/>
                <w:color w:val="000000"/>
                <w:sz w:val="18"/>
                <w:lang w:val="en-GB"/>
              </w:rPr>
              <w:t xml:space="preserve">the national and local officials </w:t>
            </w:r>
            <w:r w:rsidR="0083552F">
              <w:rPr>
                <w:rFonts w:ascii="Arial Narrow" w:eastAsia="Arial Narrow" w:hAnsi="Arial Narrow"/>
                <w:color w:val="000000"/>
                <w:sz w:val="18"/>
                <w:lang w:val="en-GB"/>
              </w:rPr>
              <w:t xml:space="preserve">can be </w:t>
            </w:r>
            <w:r w:rsidR="0083552F" w:rsidRPr="0083552F">
              <w:rPr>
                <w:rFonts w:ascii="Arial Narrow" w:eastAsia="Arial Narrow" w:hAnsi="Arial Narrow"/>
                <w:color w:val="000000"/>
                <w:sz w:val="18"/>
                <w:lang w:val="en-GB"/>
              </w:rPr>
              <w:t>reluctan</w:t>
            </w:r>
            <w:r w:rsidR="0083552F">
              <w:rPr>
                <w:rFonts w:ascii="Arial Narrow" w:eastAsia="Arial Narrow" w:hAnsi="Arial Narrow"/>
                <w:color w:val="000000"/>
                <w:sz w:val="18"/>
                <w:lang w:val="en-GB"/>
              </w:rPr>
              <w:t>t</w:t>
            </w:r>
            <w:r w:rsidR="0083552F" w:rsidRPr="0083552F">
              <w:rPr>
                <w:rFonts w:ascii="Arial Narrow" w:eastAsia="Arial Narrow" w:hAnsi="Arial Narrow"/>
                <w:color w:val="000000"/>
                <w:sz w:val="18"/>
                <w:lang w:val="en-GB"/>
              </w:rPr>
              <w:t xml:space="preserve"> to disclose uranium risk-related information</w:t>
            </w:r>
            <w:r w:rsidR="00470E42">
              <w:rPr>
                <w:rFonts w:ascii="Arial Narrow" w:eastAsia="Arial Narrow" w:hAnsi="Arial Narrow"/>
                <w:color w:val="000000"/>
                <w:sz w:val="18"/>
                <w:lang w:val="en-GB"/>
              </w:rPr>
              <w:t>.</w:t>
            </w:r>
          </w:p>
        </w:tc>
        <w:tc>
          <w:tcPr>
            <w:tcW w:w="2070" w:type="dxa"/>
            <w:shd w:val="clear" w:color="auto" w:fill="auto"/>
            <w:tcMar>
              <w:top w:w="80" w:type="dxa"/>
              <w:left w:w="80" w:type="dxa"/>
              <w:bottom w:w="80" w:type="dxa"/>
              <w:right w:w="80" w:type="dxa"/>
            </w:tcMar>
          </w:tcPr>
          <w:p w14:paraId="6C1F1A75" w14:textId="598EBF12" w:rsidR="006A5951" w:rsidRPr="0099743C" w:rsidRDefault="006A5951" w:rsidP="0099743C">
            <w:pPr>
              <w:pBdr>
                <w:top w:val="nil"/>
                <w:left w:val="nil"/>
                <w:bottom w:val="nil"/>
                <w:right w:val="nil"/>
                <w:between w:val="nil"/>
              </w:pBdr>
              <w:jc w:val="both"/>
              <w:rPr>
                <w:rFonts w:ascii="Century Gothic" w:eastAsia="Century Gothic" w:hAnsi="Century Gothic"/>
                <w:color w:val="000000"/>
                <w:sz w:val="18"/>
              </w:rPr>
            </w:pPr>
            <w:r w:rsidRPr="0099743C">
              <w:rPr>
                <w:rFonts w:ascii="Arial Narrow" w:eastAsia="Arial Narrow" w:hAnsi="Arial Narrow"/>
                <w:color w:val="000000"/>
                <w:sz w:val="18"/>
              </w:rPr>
              <w:t xml:space="preserve">As a result of </w:t>
            </w:r>
            <w:r w:rsidR="0083552F">
              <w:rPr>
                <w:rFonts w:ascii="Arial Narrow" w:eastAsia="Arial Narrow" w:hAnsi="Arial Narrow"/>
                <w:color w:val="000000"/>
                <w:sz w:val="18"/>
              </w:rPr>
              <w:t>the sensitivity of the subject matter</w:t>
            </w:r>
            <w:r w:rsidR="00470E42">
              <w:rPr>
                <w:rFonts w:ascii="Arial Narrow" w:eastAsia="Arial Narrow" w:hAnsi="Arial Narrow"/>
                <w:color w:val="000000"/>
                <w:sz w:val="18"/>
              </w:rPr>
              <w:t>.</w:t>
            </w:r>
          </w:p>
        </w:tc>
        <w:tc>
          <w:tcPr>
            <w:tcW w:w="2160" w:type="dxa"/>
            <w:shd w:val="clear" w:color="auto" w:fill="auto"/>
            <w:tcMar>
              <w:top w:w="80" w:type="dxa"/>
              <w:left w:w="80" w:type="dxa"/>
              <w:bottom w:w="80" w:type="dxa"/>
              <w:right w:w="80" w:type="dxa"/>
            </w:tcMar>
          </w:tcPr>
          <w:p w14:paraId="25BACE9A" w14:textId="4EF28645" w:rsidR="006A5951" w:rsidRDefault="006A5951" w:rsidP="0099743C">
            <w:pPr>
              <w:pBdr>
                <w:top w:val="nil"/>
                <w:left w:val="nil"/>
                <w:bottom w:val="nil"/>
                <w:right w:val="nil"/>
                <w:between w:val="nil"/>
              </w:pBdr>
              <w:jc w:val="both"/>
              <w:rPr>
                <w:rFonts w:ascii="Arial Narrow" w:eastAsia="Arial Narrow" w:hAnsi="Arial Narrow"/>
                <w:color w:val="000000"/>
                <w:sz w:val="18"/>
              </w:rPr>
            </w:pPr>
            <w:r w:rsidRPr="0099743C">
              <w:rPr>
                <w:rFonts w:ascii="Arial Narrow" w:eastAsia="Arial Narrow" w:hAnsi="Arial Narrow"/>
                <w:color w:val="000000"/>
                <w:sz w:val="18"/>
              </w:rPr>
              <w:t xml:space="preserve">Which will </w:t>
            </w:r>
            <w:r w:rsidR="0083552F">
              <w:rPr>
                <w:rFonts w:ascii="Arial Narrow" w:eastAsia="Arial Narrow" w:hAnsi="Arial Narrow"/>
                <w:color w:val="000000"/>
                <w:sz w:val="18"/>
              </w:rPr>
              <w:t>affect the schedule of remediation works and potentially increase environmental and social risks for communities residing in ULSs.</w:t>
            </w:r>
          </w:p>
          <w:p w14:paraId="0619BF5D" w14:textId="77777777" w:rsidR="0083552F" w:rsidRDefault="0083552F" w:rsidP="0099743C">
            <w:pPr>
              <w:pBdr>
                <w:top w:val="nil"/>
                <w:left w:val="nil"/>
                <w:bottom w:val="nil"/>
                <w:right w:val="nil"/>
                <w:between w:val="nil"/>
              </w:pBdr>
              <w:jc w:val="both"/>
              <w:rPr>
                <w:rFonts w:ascii="Arial Narrow" w:eastAsia="Arial Narrow" w:hAnsi="Arial Narrow"/>
                <w:color w:val="000000"/>
                <w:sz w:val="18"/>
              </w:rPr>
            </w:pPr>
          </w:p>
          <w:p w14:paraId="6C1F1A76" w14:textId="5C1D4640" w:rsidR="0083552F" w:rsidRPr="0083552F" w:rsidRDefault="0083552F" w:rsidP="0099743C">
            <w:pPr>
              <w:pBdr>
                <w:top w:val="nil"/>
                <w:left w:val="nil"/>
                <w:bottom w:val="nil"/>
                <w:right w:val="nil"/>
                <w:between w:val="nil"/>
              </w:pBdr>
              <w:jc w:val="both"/>
              <w:rPr>
                <w:rFonts w:ascii="Arial Narrow" w:eastAsia="Arial Narrow" w:hAnsi="Arial Narrow"/>
                <w:color w:val="000000"/>
                <w:sz w:val="18"/>
              </w:rPr>
            </w:pPr>
            <w:r>
              <w:rPr>
                <w:rFonts w:ascii="Arial Narrow" w:eastAsia="Arial Narrow" w:hAnsi="Arial Narrow"/>
                <w:color w:val="000000"/>
                <w:sz w:val="18"/>
              </w:rPr>
              <w:t xml:space="preserve"> </w:t>
            </w:r>
          </w:p>
        </w:tc>
        <w:tc>
          <w:tcPr>
            <w:tcW w:w="1800" w:type="dxa"/>
            <w:shd w:val="clear" w:color="auto" w:fill="auto"/>
            <w:tcMar>
              <w:top w:w="80" w:type="dxa"/>
              <w:left w:w="80" w:type="dxa"/>
              <w:bottom w:w="80" w:type="dxa"/>
              <w:right w:w="80" w:type="dxa"/>
            </w:tcMar>
          </w:tcPr>
          <w:sdt>
            <w:sdtPr>
              <w:rPr>
                <w:rFonts w:ascii="Arial Narrow" w:hAnsi="Arial Narrow"/>
                <w:b/>
                <w:bCs/>
                <w:sz w:val="20"/>
                <w:szCs w:val="20"/>
                <w:highlight w:val="lightGray"/>
              </w:rPr>
              <w:alias w:val="Select Risk Categories and Sub-categories"/>
              <w:tag w:val="Select Risk Categories and Sub-categories"/>
              <w:id w:val="-14777395"/>
              <w:placeholder>
                <w:docPart w:val="CFA6C8BD97794AB7BB516AA6EB3D64B0"/>
              </w:placeholder>
              <w:dropDownList>
                <w:listItem w:displayText="PLEASE SELECT" w:value="PLEASE SELECT"/>
                <w:listItem w:displayText="1. SOCIAL AND ENVIRONMENTAL (1.1. Human rights) - UNDP Risk Appetite: CAUTIOUS" w:value="1. SOCIAL AND ENVIRONMENTAL (1.1. Human rights) - UNDP Risk Appetite: CAUTIOUS"/>
                <w:listItem w:displayText="1. SOCIAL AND ENVIRONMENTAL (1.2. Gender equality and women’s empowerment) - UNDP Risk Appetite: CAUTIOUS" w:value="1. SOCIAL AND ENVIRONMENTAL (1.2. Gender equality and women’s empowerment) - UNDP Risk Appetite: CAUTIOUS"/>
                <w:listItem w:displayText="1. SOCIAL AND ENVIRONMENTAL (1.3. Grievances (Accountability to stakeholders)) - UNDP Risk Appetite: CAUTIOUS" w:value="1. SOCIAL AND ENVIRONMENTAL (1.3. Grievances (Accountability to stakeholders)) - UNDP Risk Appetite: CAUTIOUS"/>
                <w:listItem w:displayText="1. SOCIAL AND ENVIRONMENTAL (1.4. Biodiversity conservation and sustainable natural resource management) - UNDP Risk Appetite: CAUTIOUS" w:value="1. SOCIAL AND ENVIRONMENTAL (1.4. Biodiversity conservation and sustainable natural resource management) - UNDP Risk Appetite: CAUTIOUS"/>
                <w:listItem w:displayText="1. SOCIAL AND ENVIRONMENTAL (1.5. Climate change and disaster risks) - UNDP Risk Appetite: CAUTIOUS" w:value="1. SOCIAL AND ENVIRONMENTAL (1.5. Climate change and disaster risks) - UNDP Risk Appetite: CAUTIOUS"/>
                <w:listItem w:displayText="1. SOCIAL AND ENVIRONMENTAL (1.6. Community health, safety and security) - UNDP Risk Appetite: CAUTIOUS" w:value="1. SOCIAL AND ENVIRONMENTAL (1.6. Community health, safety and security) - UNDP Risk Appetite: CAUTIOUS"/>
                <w:listItem w:displayText="1. SOCIAL AND ENVIRONMENTAL (1.7. Cultural heritage) - UNDP Risk Appetite: CAUTIOUS" w:value="1. SOCIAL AND ENVIRONMENTAL (1.7. Cultural heritage) - UNDP Risk Appetite: CAUTIOUS"/>
                <w:listItem w:displayText="1. SOCIAL AND ENVIRONMENTAL (1.8. Displacement and resettlement) - UNDP Risk Appetite: CAUTIOUS" w:value="1. SOCIAL AND ENVIRONMENTAL (1.8. Displacement and resettlement) - UNDP Risk Appetite: CAUTIOUS"/>
                <w:listItem w:displayText="1. SOCIAL AND ENVIRONMENTAL (1.9. Indigenous peoples) - UNDP Risk Appetite: CAUTIOUS" w:value="1. SOCIAL AND ENVIRONMENTAL (1.9. Indigenous peoples) - UNDP Risk Appetite: CAUTIOUS"/>
                <w:listItem w:displayText="1. SOCIAL AND ENVIRONMENTAL (1.10. Labour and working conditions) - UNDP Risk Appetite: CAUTIOUS" w:value="1. SOCIAL AND ENVIRONMENTAL (1.10. Labour and working conditions) - UNDP Risk Appetite: CAUTIOUS"/>
                <w:listItem w:displayText="1. SOCIAL AND ENVIRONMENTAL (1.11. Pollution prevention and resource efficiency) - UNDP Risk Appetite: CAUTIOUS" w:value="1. SOCIAL AND ENVIRONMENTAL (1.11. Pollution prevention and resource efficiency) - UNDP Risk Appetite: CAUTIOUS"/>
                <w:listItem w:displayText="1. SOCIAL AND ENVIRONMENTAL (1.12. Stakeholder engagement) - UNDP Risk Appetite: CAUTIOUS" w:value="1. SOCIAL AND ENVIRONMENTAL (1.12. Stakeholder engagement) - UNDP Risk Appetite: CAUTIOUS"/>
                <w:listItem w:displayText="1. SOCIAL AND ENVIRONMENTAL (1.13. Sexual exploitation and abuse) - UNDP Risk Appetite: CAUTIOUS" w:value="1. SOCIAL AND ENVIRONMENTAL (1.13. Sexual exploitation and abuse) - UNDP Risk Appetite: CAUTIOUS"/>
                <w:listItem w:displayText="2. FINANCIAL (2.1. Cost recovery) - UNDP Risk Appetite: MINIMAL TO CAUTIOUS" w:value="2. FINANCIAL (2.1. Cost recovery) - UNDP Risk Appetite: MINIMAL TO CAUTIOUS"/>
                <w:listItem w:displayText="2. FINANCIAL (2.2. Value for money) - UNDP Risk Appetite: MINIMAL TO CAUTIOUS" w:value="2. FINANCIAL (2.2. Value for money) - UNDP Risk Appetite: MINIMAL TO CAUTIOUS"/>
                <w:listItem w:displayText="2. FINANCIAL (2.3. Corruption and fraud) - UNDP Risk Appetite: MINIMAL TO CAUTIOUS" w:value="2. FINANCIAL (2.3. Corruption and fraud) - UNDP Risk Appetite: MINIMAL TO CAUTIOUS"/>
                <w:listItem w:displayText="2. FINANCIAL (2.4. Fluctuation in credit rate, market, currency) - UNDP Risk Appetite: MINIMAL TO CAUTIOUS" w:value="2. FINANCIAL (2.4. Fluctuation in credit rate, market, currency) - UNDP Risk Appetite: MINIMAL TO CAUTIOUS"/>
                <w:listItem w:displayText="2. FINANCIAL (2.5. Delivery) - UNDP Risk Appetite: MINIMAL TO CAUTIOUS" w:value="2. FINANCIAL (2.5. Delivery) - UNDP Risk Appetite: MINIMAL TO CAUTIOUS"/>
                <w:listItem w:displayText="2. FINANCIAL (2.6. Budget availability and cash flow) - UNDP Risk Appetite: MINIMAL TO CAUTIOUS" w:value="2. FINANCIAL (2.6. Budget availability and cash flow) - UNDP Risk Appetite: MINIMAL TO CAUTIOUS"/>
                <w:listItem w:displayText="3. OPERATIONAL (3.1. Responsiveness to audit and evaluations (Delays in the conduct of and implementation of recommendations)) - UNDP Risk Appetite: EXPLORATORY TO OPEN" w:value="3. OPERATIONAL (3.1. Responsiveness to audit and evaluations (Delays in the conduct of and implementation of recommendations)) - UNDP Risk Appetite: EXPLORATORY TO OPEN"/>
                <w:listItem w:displayText="3. OPERATIONAL (3.2. Leadership and management) - UNDP Risk Appetite: EXPLORATORY TO OPEN" w:value="3. OPERATIONAL (3.2. Leadership and management) - UNDP Risk Appetite: EXPLORATORY TO OPEN"/>
                <w:listItem w:displayText="3. OPERATIONAL (3.3. Flexibility and opportunity management) - UNDP Risk Appetite: EXPLORATORY TO OPEN" w:value="3. OPERATIONAL (3.3. Flexibility and opportunity management) - UNDP Risk Appetite: EXPLORATORY TO OPEN"/>
                <w:listItem w:displayText="3. OPERATIONAL (3.4. Reporting and communication) - UNDP Risk Appetite: EXPLORATORY TO OPEN" w:value="3. OPERATIONAL (3.4. Reporting and communication) - UNDP Risk Appetite: EXPLORATORY TO OPEN"/>
                <w:listItem w:displayText="3. OPERATIONAL (3.5. Partners’ engagement) - UNDP Risk Appetite: EXPLORATORY TO OPEN" w:value="3. OPERATIONAL (3.5. Partners’ engagement) - UNDP Risk Appetite: EXPLORATORY TO OPEN"/>
                <w:listItem w:displayText="3. OPERATIONAL (3.6. Transition and exit strategy) - UNDP Risk Appetite: EXPLORATORY TO OPEN" w:value="3. OPERATIONAL (3.6. Transition and exit strategy) - UNDP Risk Appetite: EXPLORATORY TO OPEN"/>
                <w:listItem w:displayText="3. OPERATIONAL (3.7. Occupational safety, health and well-being) - UNDP Risk Appetite: EXPLORATORY TO OPEN" w:value="3. OPERATIONAL (3.7. Occupational safety, health and well-being) - UNDP Risk Appetite: EXPLORATORY TO OPEN"/>
                <w:listItem w:displayText="3. OPERATIONAL (3.8. Capacities of the partners) - UNDP Risk Appetite: EXPLORATORY TO OPEN" w:value="3. OPERATIONAL (3.8. Capacities of the partners) - UNDP Risk Appetite: EXPLORATORY TO OPEN"/>
                <w:listItem w:displayText="4. ORGANIZATIONAL (4.1. Governance) - UNDP Risk Appetite: EXPLORATORY TO OPEN" w:value="4. ORGANIZATIONAL (4.1. Governance) - UNDP Risk Appetite: EXPLORATORY TO OPEN"/>
                <w:listItem w:displayText="4. ORGANIZATIONAL (4.2. Execution capacity) - UNDP Risk Appetite: EXPLORATORY TO OPEN" w:value="4. ORGANIZATIONAL (4.2. Execution capacity) - UNDP Risk Appetite: EXPLORATORY TO OPEN"/>
                <w:listItem w:displayText="4. ORGANIZATIONAL (4.3. Implementation arrangements) - UNDP Risk Appetite: EXPLORATORY TO OPEN" w:value="4. ORGANIZATIONAL (4.3. Implementation arrangements) - UNDP Risk Appetite: EXPLORATORY TO OPEN"/>
                <w:listItem w:displayText="4. ORGANIZATIONAL (4.4. Accountability) - UNDP Risk Appetite: EXPLORATORY TO OPEN" w:value="4. ORGANIZATIONAL (4.4. Accountability) - UNDP Risk Appetite: EXPLORATORY TO OPEN"/>
                <w:listItem w:displayText="4. ORGANIZATIONAL (4.5. Monitoring and oversight) - UNDP Risk Appetite: EXPLORATORY TO OPEN" w:value="4. ORGANIZATIONAL (4.5. Monitoring and oversight) - UNDP Risk Appetite: EXPLORATORY TO OPEN"/>
                <w:listItem w:displayText="4. ORGANIZATIONAL (4.6. Knowledge management) - UNDP Risk Appetite: EXPLORATORY TO OPEN" w:value="4. ORGANIZATIONAL (4.6. Knowledge management) - UNDP Risk Appetite: EXPLORATORY TO OPEN"/>
                <w:listItem w:displayText="4. ORGANIZATIONAL (4.7. Human Resources) - UNDP Risk Appetite: EXPLORATORY TO OPEN" w:value="4. ORGANIZATIONAL (4.7. Human Resources) - UNDP Risk Appetite: EXPLORATORY TO OPEN"/>
                <w:listItem w:displayText="4. ORGANIZATIONAL (4.8. Internal control) - UNDP Risk Appetite: EXPLORATORY TO OPEN" w:value="4. ORGANIZATIONAL (4.8. Internal control) - UNDP Risk Appetite: EXPLORATORY TO OPEN"/>
                <w:listItem w:displayText="4. ORGANIZATIONAL (4.9. Procurement) - UNDP Risk Appetite: EXPLORATORY TO OPEN" w:value="4. ORGANIZATIONAL (4.9. Procurement) - UNDP Risk Appetite: EXPLORATORY TO OPEN"/>
                <w:listItem w:displayText="5. REPUTATIONAL (5.1. Public opinion and media) - UNDP Risk Appetite: CAUTIOUS" w:value="5. REPUTATIONAL (5.1. Public opinion and media) - UNDP Risk Appetite: CAUTIOUS"/>
                <w:listItem w:displayText="5. REPUTATIONAL (5.2. Engagement with private sector partnership) - UNDP Risk Appetite: CAUTIOUS" w:value="5. REPUTATIONAL (5.2. Engagement with private sector partnership) - UNDP Risk Appetite: CAUTIOUS"/>
                <w:listItem w:displayText="5. REPUTATIONAL (5.3. Code of conduct and ethics) - UNDP Risk Appetite: CAUTIOUS" w:value="5. REPUTATIONAL (5.3. Code of conduct and ethics) - UNDP Risk Appetite: CAUTIOUS"/>
                <w:listItem w:displayText="5. REPUTATIONAL (5.4. Communications) - UNDP Risk Appetite: CAUTIOUS" w:value="5. REPUTATIONAL (5.4. Communications) - UNDP Risk Appetite: CAUTIOUS"/>
                <w:listItem w:displayText="5. REPUTATIONAL (5.5. Stakeholder management) - UNDP Risk Appetite: CAUTIOUS" w:value="5. REPUTATIONAL (5.5. Stakeholder management) - UNDP Risk Appetite: CAUTIOUS"/>
                <w:listItem w:displayText="5. REPUTATIONAL (5.6. Exposure to entities involved in money laundering and terrorism financing) - UNDP Risk Appetite: CAUTIOUS" w:value="5. REPUTATIONAL (5.6. Exposure to entities involved in money laundering and terrorism financing) - UNDP Risk Appetite: CAUTIOUS"/>
                <w:listItem w:displayText="6. REGULATORY (6.1. Changes in the regulatory framework within the country of operation) - UNDP Risk Appetite: CAUTIOUS" w:value="6. REGULATORY (6.1. Changes in the regulatory framework within the country of operation) - UNDP Risk Appetite: CAUTIOUS"/>
                <w:listItem w:displayText="6. REGULATORY (6.2. Changes in the international regulatory framework affecting the whole organization) - UNDP Risk Appetite: CAUTIOUS" w:value="6. REGULATORY (6.2. Changes in the international regulatory framework affecting the whole organization) - UNDP Risk Appetite: CAUTIOUS"/>
                <w:listItem w:displayText="6. REGULATORY (6.3. Deviation from UNDP internal rules and regulations) - UNDP Risk Appetite: CAUTIOUS" w:value="6. REGULATORY (6.3. Deviation from UNDP internal rules and regulations) - UNDP Risk Appetite: CAUTIOUS"/>
                <w:listItem w:displayText="7. STRATEGIC (7.1. Alignment with UNDP strategic priorities) - UNDP Risk Appetite: OPEN TO SEEKING" w:value="7. STRATEGIC (7.1. Alignment with UNDP strategic priorities) - UNDP Risk Appetite: OPEN TO SEEKING"/>
                <w:listItem w:displayText="7. STRATEGIC (7.2. UN system coordination and reform) - UNDP Risk Appetite: OPEN TO SEEKING" w:value="7. STRATEGIC (7.2. UN system coordination and reform) - UNDP Risk Appetite: OPEN TO SEEKING"/>
                <w:listItem w:displayText="7. STRATEGIC (7.3. Stakeholder relations and partnerships) - UNDP Risk Appetite: OPEN TO SEEKING" w:value="7. STRATEGIC (7.3. Stakeholder relations and partnerships) - UNDP Risk Appetite: OPEN TO SEEKING"/>
                <w:listItem w:displayText="7. STRATEGIC (7.4. Competition) - UNDP Risk Appetite: OPEN TO SEEKING" w:value="7. STRATEGIC (7.4. Competition) - UNDP Risk Appetite: OPEN TO SEEKING"/>
                <w:listItem w:displayText="7. STRATEGIC (7.5. Government commitment) - UNDP Risk Appetite: OPEN TO SEEKING" w:value="7. STRATEGIC (7.5. Government commitment) - UNDP Risk Appetite: OPEN TO SEEKING"/>
                <w:listItem w:displayText="7. STRATEGIC (7.6. Change/turnover in government) - UNDP Risk Appetite: OPEN TO SEEKING" w:value="7. STRATEGIC (7.6. Change/turnover in government) - UNDP Risk Appetite: OPEN TO SEEKING"/>
                <w:listItem w:displayText="7. STRATEGIC (7.7. Alignment with national priorities) - UNDP Risk Appetite: OPEN TO SEEKING" w:value="7. STRATEGIC (7.7. Alignment with national priorities) - UNDP Risk Appetite: OPEN TO SEEKING"/>
                <w:listItem w:displayText="7. STRATEGIC (7.8. Innovating, piloting, experimenting) - UNDP Risk Appetite: OPEN TO SEEKING" w:value="7. STRATEGIC (7.8. Innovating, piloting, experimenting) - UNDP Risk Appetite: OPEN TO SEEKING"/>
                <w:listItem w:displayText="8. SAFETY AND SECURITY (8.1. Armed conflict) - UNDP Risk Appetite: CAUTIOUS" w:value="8. SAFETY AND SECURITY (8.1. Armed conflict) - UNDP Risk Appetite: CAUTIOUS"/>
                <w:listItem w:displayText="8. SAFETY AND SECURITY (8.2. Political instability) - UNDP Risk Appetite: CAUTIOUS" w:value="8. SAFETY AND SECURITY (8.2. Political instability) - UNDP Risk Appetite: CAUTIOUS"/>
                <w:listItem w:displayText="8. SAFETY AND SECURITY (8.3. Terrorism) - UNDP Risk Appetite: CAUTIOUS" w:value="8. SAFETY AND SECURITY (8.3. Terrorism) - UNDP Risk Appetite: CAUTIOUS"/>
                <w:listItem w:displayText="8. SAFETY AND SECURITY (8.4. Crime) - UNDP Risk Appetite: CAUTIOUS" w:value="8. SAFETY AND SECURITY (8.4. Crime) - UNDP Risk Appetite: CAUTIOUS"/>
                <w:listItem w:displayText="8. SAFETY AND SECURITY (8.5. Civil unrest) - UNDP Risk Appetite: CAUTIOUS" w:value="8. SAFETY AND SECURITY (8.5. Civil unrest) - UNDP Risk Appetite: CAUTIOUS"/>
                <w:listItem w:displayText="8. SAFETY AND SECURITY (8.6. Natural hazards) - UNDP Risk Appetite: CAUTIOUS" w:value="8. SAFETY AND SECURITY (8.6. Natural hazards) - UNDP Risk Appetite: CAUTIOUS"/>
                <w:listItem w:displayText="8. SAFETY AND SECURITY (8.7. Manmade hazards) - UNDP Risk Appetite: CAUTIOUS" w:value="8. SAFETY AND SECURITY (8.7. Manmade hazards) - UNDP Risk Appetite: CAUTIOUS"/>
                <w:listItem w:displayText="8. SAFETY AND SECURITY (8.8. Cyber security and threats) - UNDP Risk Appetite: CAUTIOUS" w:value="8. SAFETY AND SECURITY (8.8. Cyber security and threats) - UNDP Risk Appetite: CAUTIOUS"/>
              </w:dropDownList>
            </w:sdtPr>
            <w:sdtContent>
              <w:p w14:paraId="021973FB" w14:textId="74FF1192" w:rsidR="006A5951" w:rsidRPr="0099743C" w:rsidRDefault="0083552F" w:rsidP="0099743C">
                <w:pPr>
                  <w:spacing w:beforeLines="60" w:before="144" w:afterLines="60" w:after="144"/>
                  <w:contextualSpacing/>
                  <w:rPr>
                    <w:rFonts w:ascii="Arial Narrow" w:hAnsi="Arial Narrow"/>
                    <w:b/>
                    <w:sz w:val="20"/>
                  </w:rPr>
                </w:pPr>
                <w:r>
                  <w:rPr>
                    <w:rFonts w:ascii="Arial Narrow" w:hAnsi="Arial Narrow"/>
                    <w:b/>
                    <w:sz w:val="20"/>
                    <w:highlight w:val="lightGray"/>
                  </w:rPr>
                  <w:t>7. STRATEGIC (7.5. Government commitment) - UNDP Risk Appetite: OPEN TO SEEKING</w:t>
                </w:r>
              </w:p>
            </w:sdtContent>
          </w:sdt>
          <w:p w14:paraId="6C1F1A77" w14:textId="2D466EE8" w:rsidR="006A5951" w:rsidRPr="0099743C" w:rsidRDefault="006A5951" w:rsidP="0099743C">
            <w:pPr>
              <w:pBdr>
                <w:top w:val="nil"/>
                <w:left w:val="nil"/>
                <w:bottom w:val="nil"/>
                <w:right w:val="nil"/>
                <w:between w:val="nil"/>
              </w:pBdr>
              <w:rPr>
                <w:rFonts w:ascii="Century Gothic" w:eastAsia="Century Gothic" w:hAnsi="Century Gothic"/>
                <w:color w:val="000000"/>
                <w:sz w:val="18"/>
              </w:rPr>
            </w:pPr>
          </w:p>
        </w:tc>
        <w:tc>
          <w:tcPr>
            <w:tcW w:w="1620" w:type="dxa"/>
            <w:shd w:val="clear" w:color="auto" w:fill="auto"/>
            <w:tcMar>
              <w:top w:w="80" w:type="dxa"/>
              <w:left w:w="80" w:type="dxa"/>
              <w:bottom w:w="80" w:type="dxa"/>
              <w:right w:w="80" w:type="dxa"/>
            </w:tcMar>
          </w:tcPr>
          <w:p w14:paraId="0992A7A9" w14:textId="77777777" w:rsidR="006A5951" w:rsidRPr="0099743C" w:rsidRDefault="006A5951" w:rsidP="0099743C">
            <w:pPr>
              <w:spacing w:after="40"/>
              <w:rPr>
                <w:rFonts w:ascii="Arial Narrow" w:hAnsi="Arial Narrow"/>
                <w:sz w:val="20"/>
              </w:rPr>
            </w:pPr>
            <w:r w:rsidRPr="0099743C">
              <w:rPr>
                <w:rFonts w:ascii="Arial Narrow" w:hAnsi="Arial Narrow"/>
                <w:sz w:val="20"/>
              </w:rPr>
              <w:t>Likelihood:</w:t>
            </w:r>
          </w:p>
          <w:p w14:paraId="5A36B3AB" w14:textId="7F10313B" w:rsidR="006A5951" w:rsidRPr="0099743C" w:rsidRDefault="00000000" w:rsidP="0099743C">
            <w:pPr>
              <w:spacing w:after="40"/>
              <w:rPr>
                <w:rFonts w:ascii="Arial Narrow" w:hAnsi="Arial Narrow"/>
                <w:b/>
                <w:sz w:val="20"/>
              </w:rPr>
            </w:pPr>
            <w:sdt>
              <w:sdtPr>
                <w:rPr>
                  <w:rFonts w:ascii="Arial Narrow" w:hAnsi="Arial Narrow"/>
                  <w:b/>
                  <w:sz w:val="20"/>
                  <w:highlight w:val="lightGray"/>
                </w:rPr>
                <w:alias w:val="Select Likelihood Level"/>
                <w:tag w:val="Select Likelihood Level"/>
                <w:id w:val="-1681428476"/>
                <w:placeholder>
                  <w:docPart w:val="FA3F69CAE6D146B59A9708761C7D3359"/>
                </w:placeholder>
                <w:dropDownList>
                  <w:listItem w:displayText="PLEASE SELECT" w:value="PLEASE SELECT"/>
                  <w:listItem w:displayText="1 - Not likely" w:value="1 - Not likely"/>
                  <w:listItem w:displayText="2 - Low likelihood" w:value="2 - Low likelihood"/>
                  <w:listItem w:displayText="3 - Moderately likely" w:value="3 - Moderately likely"/>
                  <w:listItem w:displayText="4 - Highly likely" w:value="4 - Highly likely"/>
                  <w:listItem w:displayText="5 - Expected" w:value="5 - Expected"/>
                </w:dropDownList>
              </w:sdtPr>
              <w:sdtContent>
                <w:r w:rsidR="0083552F">
                  <w:rPr>
                    <w:rFonts w:ascii="Arial Narrow" w:hAnsi="Arial Narrow"/>
                    <w:b/>
                    <w:sz w:val="20"/>
                    <w:highlight w:val="lightGray"/>
                  </w:rPr>
                  <w:t>2 - Low likelihood</w:t>
                </w:r>
              </w:sdtContent>
            </w:sdt>
          </w:p>
          <w:p w14:paraId="7F978694" w14:textId="77777777" w:rsidR="006A5951" w:rsidRPr="0099743C" w:rsidRDefault="006A5951" w:rsidP="0099743C">
            <w:pPr>
              <w:spacing w:after="40"/>
              <w:rPr>
                <w:rFonts w:ascii="Arial Narrow" w:hAnsi="Arial Narrow"/>
                <w:sz w:val="20"/>
              </w:rPr>
            </w:pPr>
            <w:r w:rsidRPr="0099743C">
              <w:rPr>
                <w:rFonts w:ascii="Arial Narrow" w:hAnsi="Arial Narrow"/>
                <w:sz w:val="20"/>
              </w:rPr>
              <w:t xml:space="preserve">Impact: </w:t>
            </w:r>
          </w:p>
          <w:p w14:paraId="7312C556" w14:textId="78ADBE44" w:rsidR="006A5951" w:rsidRPr="0099743C" w:rsidRDefault="00000000" w:rsidP="0099743C">
            <w:pPr>
              <w:spacing w:after="40"/>
              <w:rPr>
                <w:rFonts w:ascii="Arial Narrow" w:hAnsi="Arial Narrow"/>
                <w:b/>
                <w:sz w:val="20"/>
                <w:highlight w:val="lightGray"/>
              </w:rPr>
            </w:pPr>
            <w:sdt>
              <w:sdtPr>
                <w:rPr>
                  <w:rFonts w:ascii="Arial Narrow" w:hAnsi="Arial Narrow"/>
                  <w:b/>
                  <w:sz w:val="20"/>
                  <w:highlight w:val="lightGray"/>
                </w:rPr>
                <w:alias w:val="Select Impact Level"/>
                <w:tag w:val="Select Impact Level"/>
                <w:id w:val="-1794200571"/>
                <w:placeholder>
                  <w:docPart w:val="FA3F69CAE6D146B59A9708761C7D3359"/>
                </w:placeholder>
                <w:dropDownList>
                  <w:listItem w:displayText="PLEASE SELECT" w:value="PLEASE SELECT"/>
                  <w:listItem w:displayText="1 - Negligible" w:value="1 - Negligible"/>
                  <w:listItem w:displayText="2 - Minor" w:value="2 - Minor"/>
                  <w:listItem w:displayText="3 - Intermediate" w:value="3 - Intermediate"/>
                  <w:listItem w:displayText="4 - Extensive" w:value="4 - Extensive"/>
                  <w:listItem w:displayText="5 - Extreme" w:value="5 - Extreme"/>
                </w:dropDownList>
              </w:sdtPr>
              <w:sdtContent>
                <w:r w:rsidR="0083552F">
                  <w:rPr>
                    <w:rFonts w:ascii="Arial Narrow" w:hAnsi="Arial Narrow"/>
                    <w:b/>
                    <w:sz w:val="20"/>
                    <w:highlight w:val="lightGray"/>
                  </w:rPr>
                  <w:t>2 - Minor</w:t>
                </w:r>
              </w:sdtContent>
            </w:sdt>
          </w:p>
          <w:p w14:paraId="322971E6" w14:textId="77777777" w:rsidR="006A5951" w:rsidRPr="0099743C" w:rsidRDefault="006A5951" w:rsidP="0099743C">
            <w:pPr>
              <w:spacing w:after="40"/>
              <w:rPr>
                <w:rFonts w:ascii="Arial Narrow" w:hAnsi="Arial Narrow"/>
                <w:sz w:val="20"/>
              </w:rPr>
            </w:pPr>
            <w:r w:rsidRPr="0099743C">
              <w:rPr>
                <w:rFonts w:ascii="Arial Narrow" w:hAnsi="Arial Narrow"/>
                <w:sz w:val="20"/>
              </w:rPr>
              <w:t>Risk level:</w:t>
            </w:r>
          </w:p>
          <w:p w14:paraId="6C1F1A7F" w14:textId="2B525545" w:rsidR="006A5951" w:rsidRPr="0099743C" w:rsidRDefault="00000000" w:rsidP="0099743C">
            <w:pPr>
              <w:pBdr>
                <w:top w:val="nil"/>
                <w:left w:val="nil"/>
                <w:bottom w:val="nil"/>
                <w:right w:val="nil"/>
                <w:between w:val="nil"/>
              </w:pBdr>
              <w:jc w:val="both"/>
              <w:rPr>
                <w:rFonts w:ascii="Century Gothic" w:eastAsia="Century Gothic" w:hAnsi="Century Gothic"/>
                <w:color w:val="000000"/>
                <w:sz w:val="18"/>
              </w:rPr>
            </w:pPr>
            <w:sdt>
              <w:sdtPr>
                <w:rPr>
                  <w:rFonts w:ascii="Arial Narrow" w:hAnsi="Arial Narrow"/>
                  <w:b/>
                  <w:sz w:val="20"/>
                  <w:highlight w:val="lightGray"/>
                </w:rPr>
                <w:alias w:val="Select Risk Level"/>
                <w:tag w:val="Select Risk Level"/>
                <w:id w:val="-1640101484"/>
                <w:placeholder>
                  <w:docPart w:val="FA3F69CAE6D146B59A9708761C7D3359"/>
                </w:placeholder>
                <w:dropDownList>
                  <w:listItem w:displayText="PLEASE SELECT" w:value="PLEASE SELECT"/>
                  <w:listItem w:displayText="LOW (equates to a risk appetite of MINIMAL)" w:value="LOW (equates to a risk appetite of MINIMAL)"/>
                  <w:listItem w:displayText="LOW (equates to a risk appetite of CAUTIOUS)" w:value="LOW (equates to a risk appetite of CAUTIOUS)"/>
                  <w:listItem w:displayText="MODERATE (equates to a risk appetite of EXPLORATORY)" w:value="MODERATE (equates to a risk appetite of EXPLORATORY)"/>
                  <w:listItem w:displayText="SUBSTANTIAL (equates to a risk appetite of OPEN)" w:value="SUBSTANTIAL (equates to a risk appetite of OPEN)"/>
                  <w:listItem w:displayText="HIGH RISK (equates to a risk appetite of SEEK)" w:value="HIGH RISK (equates to a risk appetite of SEEK)"/>
                </w:dropDownList>
              </w:sdtPr>
              <w:sdtContent>
                <w:r w:rsidR="0083552F">
                  <w:rPr>
                    <w:rFonts w:ascii="Arial Narrow" w:hAnsi="Arial Narrow"/>
                    <w:b/>
                    <w:sz w:val="20"/>
                    <w:highlight w:val="lightGray"/>
                  </w:rPr>
                  <w:t>LOW (equates to a risk appetite of CAUTIOUS)</w:t>
                </w:r>
              </w:sdtContent>
            </w:sdt>
          </w:p>
        </w:tc>
        <w:tc>
          <w:tcPr>
            <w:tcW w:w="1440" w:type="dxa"/>
            <w:shd w:val="clear" w:color="auto" w:fill="auto"/>
            <w:tcMar>
              <w:top w:w="80" w:type="dxa"/>
              <w:left w:w="80" w:type="dxa"/>
              <w:bottom w:w="80" w:type="dxa"/>
              <w:right w:w="80" w:type="dxa"/>
            </w:tcMar>
          </w:tcPr>
          <w:p w14:paraId="57119DF9" w14:textId="77777777" w:rsidR="006A5951" w:rsidRPr="0099743C" w:rsidRDefault="006A5951" w:rsidP="0099743C">
            <w:pPr>
              <w:spacing w:before="40" w:after="40"/>
              <w:contextualSpacing/>
              <w:rPr>
                <w:rFonts w:ascii="Arial Narrow" w:hAnsi="Arial Narrow"/>
                <w:sz w:val="20"/>
                <w:highlight w:val="lightGray"/>
              </w:rPr>
            </w:pPr>
            <w:r w:rsidRPr="0099743C">
              <w:rPr>
                <w:rFonts w:ascii="Arial Narrow" w:hAnsi="Arial Narrow"/>
                <w:sz w:val="20"/>
              </w:rPr>
              <w:t xml:space="preserve">From: </w:t>
            </w:r>
            <w:sdt>
              <w:sdtPr>
                <w:rPr>
                  <w:rFonts w:ascii="Arial Narrow" w:hAnsi="Arial Narrow"/>
                  <w:sz w:val="20"/>
                  <w:highlight w:val="lightGray"/>
                </w:rPr>
                <w:alias w:val="Select starting date"/>
                <w:tag w:val="Select starting date"/>
                <w:id w:val="-957107835"/>
                <w:placeholder>
                  <w:docPart w:val="A7D346FE31E2489EBDD0F0ADD8CB9951"/>
                </w:placeholder>
                <w:showingPlcHdr/>
                <w:date>
                  <w:dateFormat w:val="dd-MMM-yy"/>
                  <w:lid w:val="en-US"/>
                  <w:storeMappedDataAs w:val="dateTime"/>
                  <w:calendar w:val="gregorian"/>
                </w:date>
              </w:sdtPr>
              <w:sdtContent>
                <w:r w:rsidRPr="0099743C">
                  <w:rPr>
                    <w:rStyle w:val="PlaceholderText"/>
                    <w:rFonts w:ascii="Arial Narrow" w:hAnsi="Arial Narrow"/>
                    <w:b/>
                    <w:sz w:val="20"/>
                    <w:highlight w:val="lightGray"/>
                  </w:rPr>
                  <w:t>Click or tap to enter a date.</w:t>
                </w:r>
              </w:sdtContent>
            </w:sdt>
          </w:p>
          <w:p w14:paraId="59E63DDC" w14:textId="77777777" w:rsidR="006A5951" w:rsidRPr="0099743C" w:rsidRDefault="006A5951" w:rsidP="0099743C">
            <w:pPr>
              <w:spacing w:before="40" w:after="40"/>
              <w:contextualSpacing/>
              <w:rPr>
                <w:rFonts w:ascii="Arial Narrow" w:hAnsi="Arial Narrow"/>
                <w:sz w:val="20"/>
                <w:highlight w:val="lightGray"/>
              </w:rPr>
            </w:pPr>
          </w:p>
          <w:p w14:paraId="6C1F1A82" w14:textId="70E00A0B" w:rsidR="006A5951" w:rsidRPr="0099743C" w:rsidRDefault="006A5951" w:rsidP="0099743C">
            <w:pPr>
              <w:pBdr>
                <w:top w:val="nil"/>
                <w:left w:val="nil"/>
                <w:bottom w:val="nil"/>
                <w:right w:val="nil"/>
                <w:between w:val="nil"/>
              </w:pBdr>
              <w:jc w:val="both"/>
              <w:rPr>
                <w:rFonts w:ascii="Century Gothic" w:eastAsia="Century Gothic" w:hAnsi="Century Gothic"/>
                <w:color w:val="000000"/>
                <w:sz w:val="18"/>
              </w:rPr>
            </w:pPr>
            <w:r w:rsidRPr="0099743C">
              <w:rPr>
                <w:rFonts w:ascii="Arial Narrow" w:hAnsi="Arial Narrow"/>
                <w:sz w:val="20"/>
              </w:rPr>
              <w:t xml:space="preserve">To: </w:t>
            </w:r>
            <w:sdt>
              <w:sdtPr>
                <w:rPr>
                  <w:rFonts w:ascii="Arial Narrow" w:hAnsi="Arial Narrow"/>
                  <w:sz w:val="20"/>
                  <w:highlight w:val="lightGray"/>
                </w:rPr>
                <w:alias w:val="Select End Date"/>
                <w:tag w:val="Select End Date"/>
                <w:id w:val="-1584608518"/>
                <w:placeholder>
                  <w:docPart w:val="A7D346FE31E2489EBDD0F0ADD8CB9951"/>
                </w:placeholder>
                <w:showingPlcHdr/>
                <w:date>
                  <w:dateFormat w:val="dd-MMM-yy"/>
                  <w:lid w:val="en-US"/>
                  <w:storeMappedDataAs w:val="dateTime"/>
                  <w:calendar w:val="gregorian"/>
                </w:date>
              </w:sdtPr>
              <w:sdtContent>
                <w:r w:rsidRPr="0099743C">
                  <w:rPr>
                    <w:rStyle w:val="PlaceholderText"/>
                    <w:rFonts w:ascii="Arial Narrow" w:hAnsi="Arial Narrow"/>
                    <w:b/>
                    <w:sz w:val="20"/>
                    <w:highlight w:val="lightGray"/>
                  </w:rPr>
                  <w:t>Click or tap to enter a date.</w:t>
                </w:r>
              </w:sdtContent>
            </w:sdt>
          </w:p>
        </w:tc>
        <w:tc>
          <w:tcPr>
            <w:tcW w:w="720" w:type="dxa"/>
            <w:shd w:val="clear" w:color="auto" w:fill="auto"/>
            <w:tcMar>
              <w:top w:w="80" w:type="dxa"/>
              <w:left w:w="80" w:type="dxa"/>
              <w:bottom w:w="80" w:type="dxa"/>
              <w:right w:w="80" w:type="dxa"/>
            </w:tcMar>
          </w:tcPr>
          <w:p w14:paraId="6C1F1A84" w14:textId="60BBBDDD" w:rsidR="006A5951" w:rsidRPr="0099743C" w:rsidRDefault="004A0DCB" w:rsidP="0099743C">
            <w:pPr>
              <w:pBdr>
                <w:top w:val="nil"/>
                <w:left w:val="nil"/>
                <w:bottom w:val="nil"/>
                <w:right w:val="nil"/>
                <w:between w:val="nil"/>
              </w:pBdr>
              <w:jc w:val="both"/>
              <w:rPr>
                <w:rFonts w:ascii="Century Gothic" w:eastAsia="Century Gothic" w:hAnsi="Century Gothic"/>
                <w:color w:val="000000"/>
                <w:sz w:val="18"/>
              </w:rPr>
            </w:pPr>
            <w:r>
              <w:rPr>
                <w:rFonts w:ascii="Arial Narrow" w:eastAsia="Arial Narrow" w:hAnsi="Arial Narrow"/>
                <w:color w:val="000000"/>
                <w:sz w:val="18"/>
              </w:rPr>
              <w:t>IRH, UNDP COs</w:t>
            </w:r>
            <w:r w:rsidRPr="004A0DCB">
              <w:rPr>
                <w:rFonts w:ascii="Arial Narrow" w:eastAsia="Arial Narrow" w:hAnsi="Arial Narrow"/>
                <w:color w:val="000000"/>
                <w:sz w:val="18"/>
              </w:rPr>
              <w:t>, OSCE</w:t>
            </w:r>
            <w:r w:rsidRPr="0099743C">
              <w:rPr>
                <w:rFonts w:ascii="Century Gothic" w:eastAsia="Century Gothic" w:hAnsi="Century Gothic"/>
                <w:color w:val="000000"/>
                <w:sz w:val="18"/>
              </w:rPr>
              <w:t xml:space="preserve"> </w:t>
            </w:r>
          </w:p>
        </w:tc>
        <w:tc>
          <w:tcPr>
            <w:tcW w:w="3600" w:type="dxa"/>
            <w:shd w:val="clear" w:color="auto" w:fill="auto"/>
            <w:tcMar>
              <w:top w:w="80" w:type="dxa"/>
              <w:left w:w="80" w:type="dxa"/>
              <w:bottom w:w="80" w:type="dxa"/>
              <w:right w:w="80" w:type="dxa"/>
            </w:tcMar>
          </w:tcPr>
          <w:p w14:paraId="4E5C883C" w14:textId="1A5990F7" w:rsidR="0083552F" w:rsidRDefault="006A5951" w:rsidP="0083552F">
            <w:pPr>
              <w:pBdr>
                <w:top w:val="nil"/>
                <w:left w:val="nil"/>
                <w:bottom w:val="nil"/>
                <w:right w:val="nil"/>
                <w:between w:val="nil"/>
              </w:pBdr>
              <w:jc w:val="both"/>
              <w:rPr>
                <w:rFonts w:ascii="Arial Narrow" w:eastAsia="Arial Narrow" w:hAnsi="Arial Narrow"/>
                <w:color w:val="000000"/>
                <w:sz w:val="18"/>
              </w:rPr>
            </w:pPr>
            <w:r w:rsidRPr="0099743C">
              <w:rPr>
                <w:rFonts w:ascii="Arial Narrow" w:eastAsia="Arial Narrow" w:hAnsi="Arial Narrow"/>
                <w:color w:val="000000"/>
                <w:sz w:val="18"/>
              </w:rPr>
              <w:t xml:space="preserve">Risk Treatment 1: </w:t>
            </w:r>
            <w:r w:rsidR="0083552F" w:rsidRPr="0083552F">
              <w:rPr>
                <w:rFonts w:ascii="Arial Narrow" w:eastAsia="Arial Narrow" w:hAnsi="Arial Narrow"/>
                <w:color w:val="000000"/>
                <w:sz w:val="18"/>
              </w:rPr>
              <w:t xml:space="preserve">In Phase II, the project successfully built strong relationships with national and local government stakeholders, fostering mutual trust, openness, and transparency regarding ongoing and planned remediation measures. Moving into Phase III, the project </w:t>
            </w:r>
            <w:r w:rsidR="0083552F">
              <w:rPr>
                <w:rFonts w:ascii="Arial Narrow" w:eastAsia="Arial Narrow" w:hAnsi="Arial Narrow"/>
                <w:color w:val="000000"/>
                <w:sz w:val="18"/>
              </w:rPr>
              <w:t xml:space="preserve">will continue </w:t>
            </w:r>
            <w:r w:rsidR="0083552F" w:rsidRPr="0083552F">
              <w:rPr>
                <w:rFonts w:ascii="Arial Narrow" w:eastAsia="Arial Narrow" w:hAnsi="Arial Narrow"/>
                <w:color w:val="000000"/>
                <w:sz w:val="18"/>
              </w:rPr>
              <w:t xml:space="preserve">to illustrate to national </w:t>
            </w:r>
            <w:r w:rsidR="0083552F">
              <w:rPr>
                <w:rFonts w:ascii="Arial Narrow" w:eastAsia="Arial Narrow" w:hAnsi="Arial Narrow"/>
                <w:color w:val="000000"/>
                <w:sz w:val="18"/>
              </w:rPr>
              <w:t xml:space="preserve">and local </w:t>
            </w:r>
            <w:r w:rsidR="0083552F" w:rsidRPr="0083552F">
              <w:rPr>
                <w:rFonts w:ascii="Arial Narrow" w:eastAsia="Arial Narrow" w:hAnsi="Arial Narrow"/>
                <w:color w:val="000000"/>
                <w:sz w:val="18"/>
              </w:rPr>
              <w:t>authorities the tangible benefits that arise specifically from transparent disclosure of uranium risks within communities.</w:t>
            </w:r>
          </w:p>
          <w:p w14:paraId="6C1F1A85" w14:textId="4EE34CD3" w:rsidR="006A5951" w:rsidRPr="0099743C" w:rsidRDefault="006A5951" w:rsidP="0099743C">
            <w:pPr>
              <w:pBdr>
                <w:top w:val="nil"/>
                <w:left w:val="nil"/>
                <w:bottom w:val="nil"/>
                <w:right w:val="nil"/>
                <w:between w:val="nil"/>
              </w:pBdr>
              <w:jc w:val="both"/>
              <w:rPr>
                <w:rFonts w:ascii="Arial Narrow" w:eastAsia="Arial Narrow" w:hAnsi="Arial Narrow"/>
                <w:color w:val="000000"/>
                <w:sz w:val="18"/>
              </w:rPr>
            </w:pPr>
          </w:p>
          <w:p w14:paraId="6C1F1A86" w14:textId="22A1D44A" w:rsidR="006A5951" w:rsidRPr="0099743C" w:rsidRDefault="006A5951" w:rsidP="0099743C">
            <w:pPr>
              <w:pBdr>
                <w:top w:val="nil"/>
                <w:left w:val="nil"/>
                <w:bottom w:val="nil"/>
                <w:right w:val="nil"/>
                <w:between w:val="nil"/>
              </w:pBdr>
              <w:jc w:val="both"/>
              <w:rPr>
                <w:rFonts w:ascii="Century Gothic" w:eastAsia="Century Gothic" w:hAnsi="Century Gothic"/>
                <w:color w:val="000000"/>
                <w:sz w:val="18"/>
              </w:rPr>
            </w:pPr>
            <w:r w:rsidRPr="0099743C">
              <w:rPr>
                <w:rFonts w:ascii="Arial Narrow" w:eastAsia="Arial Narrow" w:hAnsi="Arial Narrow"/>
                <w:color w:val="000000"/>
                <w:sz w:val="18"/>
              </w:rPr>
              <w:t xml:space="preserve">Risk Treatment Owner: </w:t>
            </w:r>
            <w:r w:rsidR="004A0DCB">
              <w:rPr>
                <w:rFonts w:ascii="Arial Narrow" w:eastAsia="Arial Narrow" w:hAnsi="Arial Narrow"/>
                <w:color w:val="000000"/>
                <w:sz w:val="18"/>
              </w:rPr>
              <w:t>IRH, UNDP COs</w:t>
            </w:r>
            <w:r w:rsidR="004A0DCB" w:rsidRPr="004A0DCB">
              <w:rPr>
                <w:rFonts w:ascii="Arial Narrow" w:eastAsia="Arial Narrow" w:hAnsi="Arial Narrow"/>
                <w:color w:val="000000"/>
                <w:sz w:val="18"/>
              </w:rPr>
              <w:t>, OSCE</w:t>
            </w:r>
          </w:p>
        </w:tc>
      </w:tr>
    </w:tbl>
    <w:p w14:paraId="6C1F1AC9" w14:textId="77777777" w:rsidR="00DA349F" w:rsidRPr="0099743C" w:rsidRDefault="00AB44E9" w:rsidP="0099743C">
      <w:pPr>
        <w:pBdr>
          <w:top w:val="nil"/>
          <w:left w:val="nil"/>
          <w:bottom w:val="nil"/>
          <w:right w:val="nil"/>
          <w:between w:val="nil"/>
        </w:pBdr>
        <w:rPr>
          <w:rFonts w:ascii="Century Gothic" w:eastAsia="Century Gothic" w:hAnsi="Century Gothic"/>
          <w:color w:val="000000"/>
          <w:sz w:val="20"/>
        </w:rPr>
      </w:pPr>
      <w:r w:rsidRPr="0099743C">
        <w:br w:type="page"/>
      </w:r>
    </w:p>
    <w:p w14:paraId="6C1F1ACA" w14:textId="77777777" w:rsidR="00DA349F" w:rsidRPr="0099743C" w:rsidRDefault="00AB44E9" w:rsidP="0099743C">
      <w:pPr>
        <w:pBdr>
          <w:top w:val="nil"/>
          <w:left w:val="nil"/>
          <w:bottom w:val="nil"/>
          <w:right w:val="nil"/>
          <w:between w:val="nil"/>
        </w:pBdr>
        <w:jc w:val="center"/>
        <w:rPr>
          <w:rFonts w:ascii="Century Gothic" w:eastAsia="Century Gothic" w:hAnsi="Century Gothic"/>
          <w:b/>
          <w:color w:val="000000"/>
        </w:rPr>
      </w:pPr>
      <w:r w:rsidRPr="0099743C">
        <w:rPr>
          <w:rFonts w:ascii="Century Gothic" w:eastAsia="Century Gothic" w:hAnsi="Century Gothic"/>
          <w:b/>
          <w:color w:val="000000"/>
        </w:rPr>
        <w:lastRenderedPageBreak/>
        <w:t xml:space="preserve">ANNEX 3: RISK MATRIX  </w:t>
      </w:r>
    </w:p>
    <w:p w14:paraId="6C1F1ACB" w14:textId="77777777" w:rsidR="00DA349F" w:rsidRPr="0099743C" w:rsidRDefault="00DA349F" w:rsidP="0099743C">
      <w:pPr>
        <w:pBdr>
          <w:top w:val="nil"/>
          <w:left w:val="nil"/>
          <w:bottom w:val="nil"/>
          <w:right w:val="nil"/>
          <w:between w:val="nil"/>
        </w:pBdr>
        <w:jc w:val="center"/>
        <w:rPr>
          <w:rFonts w:ascii="Century Gothic" w:eastAsia="Century Gothic" w:hAnsi="Century Gothic"/>
          <w:color w:val="000000"/>
          <w:sz w:val="20"/>
        </w:rPr>
      </w:pPr>
    </w:p>
    <w:p w14:paraId="6C1F1ACC" w14:textId="77777777" w:rsidR="00DA349F" w:rsidRPr="0099743C" w:rsidRDefault="00DA349F" w:rsidP="0099743C">
      <w:pPr>
        <w:pBdr>
          <w:top w:val="nil"/>
          <w:left w:val="nil"/>
          <w:bottom w:val="nil"/>
          <w:right w:val="nil"/>
          <w:between w:val="nil"/>
        </w:pBdr>
        <w:jc w:val="center"/>
        <w:rPr>
          <w:rFonts w:ascii="Century Gothic" w:eastAsia="Century Gothic" w:hAnsi="Century Gothic"/>
          <w:color w:val="000000"/>
          <w:sz w:val="20"/>
        </w:rPr>
      </w:pPr>
    </w:p>
    <w:p w14:paraId="6C1F1ACD" w14:textId="77777777" w:rsidR="00DA349F" w:rsidRPr="0099743C" w:rsidRDefault="00DA349F" w:rsidP="0099743C">
      <w:pPr>
        <w:pBdr>
          <w:top w:val="nil"/>
          <w:left w:val="nil"/>
          <w:bottom w:val="nil"/>
          <w:right w:val="nil"/>
          <w:between w:val="nil"/>
        </w:pBdr>
        <w:ind w:left="450"/>
        <w:rPr>
          <w:rFonts w:ascii="Arial Narrow" w:eastAsia="Arial Narrow" w:hAnsi="Arial Narrow"/>
          <w:b/>
          <w:color w:val="000000"/>
        </w:rPr>
      </w:pPr>
    </w:p>
    <w:tbl>
      <w:tblPr>
        <w:tblW w:w="9911"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CellMar>
          <w:left w:w="115" w:type="dxa"/>
          <w:right w:w="115" w:type="dxa"/>
        </w:tblCellMar>
        <w:tblLook w:val="0000" w:firstRow="0" w:lastRow="0" w:firstColumn="0" w:lastColumn="0" w:noHBand="0" w:noVBand="0"/>
      </w:tblPr>
      <w:tblGrid>
        <w:gridCol w:w="903"/>
        <w:gridCol w:w="644"/>
        <w:gridCol w:w="971"/>
        <w:gridCol w:w="971"/>
        <w:gridCol w:w="971"/>
        <w:gridCol w:w="971"/>
        <w:gridCol w:w="971"/>
        <w:gridCol w:w="1354"/>
        <w:gridCol w:w="666"/>
        <w:gridCol w:w="1309"/>
        <w:gridCol w:w="180"/>
      </w:tblGrid>
      <w:tr w:rsidR="0099743C" w14:paraId="6C1F1AD9" w14:textId="77777777" w:rsidTr="0099743C">
        <w:trPr>
          <w:trHeight w:val="461"/>
          <w:jc w:val="center"/>
        </w:trPr>
        <w:tc>
          <w:tcPr>
            <w:tcW w:w="907" w:type="dxa"/>
            <w:vMerge w:val="restart"/>
            <w:tcBorders>
              <w:top w:val="nil"/>
              <w:left w:val="nil"/>
              <w:bottom w:val="nil"/>
              <w:right w:val="single" w:sz="4" w:space="0" w:color="000000"/>
            </w:tcBorders>
            <w:shd w:val="clear" w:color="auto" w:fill="auto"/>
            <w:tcMar>
              <w:top w:w="80" w:type="dxa"/>
              <w:left w:w="193" w:type="dxa"/>
              <w:bottom w:w="80" w:type="dxa"/>
              <w:right w:w="193" w:type="dxa"/>
            </w:tcMar>
            <w:textDirection w:val="btLr"/>
            <w:vAlign w:val="bottom"/>
          </w:tcPr>
          <w:p w14:paraId="6C1F1ACE" w14:textId="77777777" w:rsidR="00DA349F" w:rsidRPr="0099743C" w:rsidRDefault="00AB44E9" w:rsidP="0099743C">
            <w:pPr>
              <w:pBdr>
                <w:top w:val="nil"/>
                <w:left w:val="nil"/>
                <w:bottom w:val="nil"/>
                <w:right w:val="nil"/>
                <w:between w:val="nil"/>
              </w:pBdr>
              <w:spacing w:before="120" w:after="120"/>
              <w:ind w:left="113" w:right="113"/>
              <w:jc w:val="center"/>
              <w:rPr>
                <w:rFonts w:ascii="Century Gothic" w:eastAsia="Century Gothic" w:hAnsi="Century Gothic"/>
                <w:color w:val="000000"/>
                <w:sz w:val="20"/>
              </w:rPr>
            </w:pPr>
            <w:r w:rsidRPr="0099743C">
              <w:rPr>
                <w:rFonts w:ascii="Century Gothic" w:hAnsi="Century Gothic"/>
                <w:b/>
                <w:bCs/>
                <w:sz w:val="28"/>
                <w:szCs w:val="28"/>
                <w:lang w:val="en-GB"/>
              </w:rPr>
              <w:t>Impact</w:t>
            </w:r>
          </w:p>
        </w:tc>
        <w:tc>
          <w:tcPr>
            <w:tcW w:w="6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6C1F1ACF" w14:textId="77777777" w:rsidR="00DA349F" w:rsidRPr="0099743C" w:rsidRDefault="00AB44E9" w:rsidP="0099743C">
            <w:pPr>
              <w:pBdr>
                <w:top w:val="nil"/>
                <w:left w:val="nil"/>
                <w:bottom w:val="nil"/>
                <w:right w:val="nil"/>
                <w:between w:val="nil"/>
              </w:pBdr>
              <w:spacing w:before="320" w:after="320"/>
              <w:jc w:val="center"/>
              <w:rPr>
                <w:rFonts w:ascii="Century Gothic" w:eastAsia="Century Gothic" w:hAnsi="Century Gothic"/>
                <w:color w:val="000000"/>
                <w:sz w:val="20"/>
              </w:rPr>
            </w:pPr>
            <w:r w:rsidRPr="0099743C">
              <w:rPr>
                <w:rFonts w:ascii="Century Gothic" w:eastAsia="Century Gothic" w:hAnsi="Century Gothic"/>
                <w:b/>
                <w:color w:val="000000"/>
                <w:sz w:val="20"/>
              </w:rPr>
              <w:t>5</w:t>
            </w:r>
          </w:p>
        </w:tc>
        <w:tc>
          <w:tcPr>
            <w:tcW w:w="979" w:type="dxa"/>
            <w:tcBorders>
              <w:top w:val="single" w:sz="4" w:space="0" w:color="000000"/>
              <w:left w:val="single" w:sz="4" w:space="0" w:color="000000"/>
              <w:bottom w:val="single" w:sz="4" w:space="0" w:color="000000"/>
              <w:right w:val="single" w:sz="4" w:space="0" w:color="000000"/>
            </w:tcBorders>
            <w:shd w:val="clear" w:color="auto" w:fill="9CC2E5"/>
            <w:tcMar>
              <w:top w:w="80" w:type="dxa"/>
              <w:left w:w="80" w:type="dxa"/>
              <w:bottom w:w="80" w:type="dxa"/>
              <w:right w:w="80" w:type="dxa"/>
            </w:tcMar>
            <w:vAlign w:val="center"/>
          </w:tcPr>
          <w:p w14:paraId="6C1F1AD0" w14:textId="77777777" w:rsidR="00DA349F" w:rsidRPr="0099743C" w:rsidRDefault="00DA349F" w:rsidP="0099743C"/>
        </w:tc>
        <w:tc>
          <w:tcPr>
            <w:tcW w:w="979" w:type="dxa"/>
            <w:tcBorders>
              <w:top w:val="single" w:sz="4" w:space="0" w:color="000000"/>
              <w:left w:val="single" w:sz="4" w:space="0" w:color="000000"/>
              <w:bottom w:val="single" w:sz="4" w:space="0" w:color="000000"/>
              <w:right w:val="single" w:sz="4" w:space="0" w:color="000000"/>
            </w:tcBorders>
            <w:shd w:val="clear" w:color="auto" w:fill="2E74B5"/>
            <w:tcMar>
              <w:top w:w="80" w:type="dxa"/>
              <w:left w:w="80" w:type="dxa"/>
              <w:bottom w:w="80" w:type="dxa"/>
              <w:right w:w="80" w:type="dxa"/>
            </w:tcMar>
            <w:vAlign w:val="center"/>
          </w:tcPr>
          <w:p w14:paraId="6C1F1AD1" w14:textId="77777777" w:rsidR="00DA349F" w:rsidRPr="0099743C" w:rsidRDefault="00DA349F" w:rsidP="0099743C"/>
        </w:tc>
        <w:tc>
          <w:tcPr>
            <w:tcW w:w="979" w:type="dxa"/>
            <w:tcBorders>
              <w:top w:val="single" w:sz="4" w:space="0" w:color="000000"/>
              <w:left w:val="single" w:sz="4" w:space="0" w:color="000000"/>
              <w:bottom w:val="single" w:sz="4" w:space="0" w:color="000000"/>
              <w:right w:val="single" w:sz="4" w:space="0" w:color="000000"/>
            </w:tcBorders>
            <w:shd w:val="clear" w:color="auto" w:fill="2E74B5"/>
            <w:tcMar>
              <w:top w:w="80" w:type="dxa"/>
              <w:left w:w="80" w:type="dxa"/>
              <w:bottom w:w="80" w:type="dxa"/>
              <w:right w:w="80" w:type="dxa"/>
            </w:tcMar>
            <w:vAlign w:val="center"/>
          </w:tcPr>
          <w:p w14:paraId="6C1F1AD2" w14:textId="77777777" w:rsidR="00DA349F" w:rsidRPr="0099743C" w:rsidRDefault="00DA349F" w:rsidP="0099743C"/>
        </w:tc>
        <w:tc>
          <w:tcPr>
            <w:tcW w:w="979" w:type="dxa"/>
            <w:tcBorders>
              <w:top w:val="single" w:sz="4" w:space="0" w:color="000000"/>
              <w:left w:val="single" w:sz="4" w:space="0" w:color="000000"/>
              <w:bottom w:val="single" w:sz="4" w:space="0" w:color="000000"/>
              <w:right w:val="single" w:sz="4" w:space="0" w:color="000000"/>
            </w:tcBorders>
            <w:shd w:val="clear" w:color="auto" w:fill="1F4E79"/>
            <w:tcMar>
              <w:top w:w="80" w:type="dxa"/>
              <w:left w:w="80" w:type="dxa"/>
              <w:bottom w:w="80" w:type="dxa"/>
              <w:right w:w="80" w:type="dxa"/>
            </w:tcMar>
            <w:vAlign w:val="center"/>
          </w:tcPr>
          <w:p w14:paraId="6C1F1AD3" w14:textId="77777777" w:rsidR="00DA349F" w:rsidRPr="0099743C" w:rsidRDefault="00DA349F" w:rsidP="0099743C"/>
        </w:tc>
        <w:tc>
          <w:tcPr>
            <w:tcW w:w="979" w:type="dxa"/>
            <w:tcBorders>
              <w:top w:val="single" w:sz="4" w:space="0" w:color="000000"/>
              <w:left w:val="single" w:sz="4" w:space="0" w:color="000000"/>
              <w:bottom w:val="single" w:sz="4" w:space="0" w:color="000000"/>
              <w:right w:val="single" w:sz="4" w:space="0" w:color="000000"/>
            </w:tcBorders>
            <w:shd w:val="clear" w:color="auto" w:fill="1F4E79"/>
            <w:tcMar>
              <w:top w:w="80" w:type="dxa"/>
              <w:left w:w="80" w:type="dxa"/>
              <w:bottom w:w="80" w:type="dxa"/>
              <w:right w:w="80" w:type="dxa"/>
            </w:tcMar>
            <w:vAlign w:val="center"/>
          </w:tcPr>
          <w:p w14:paraId="6C1F1AD4" w14:textId="77777777" w:rsidR="00DA349F" w:rsidRPr="0099743C" w:rsidRDefault="00DA349F" w:rsidP="0099743C"/>
        </w:tc>
        <w:tc>
          <w:tcPr>
            <w:tcW w:w="1365" w:type="dxa"/>
            <w:tcBorders>
              <w:top w:val="nil"/>
              <w:left w:val="single" w:sz="4" w:space="0" w:color="000000"/>
              <w:bottom w:val="nil"/>
              <w:right w:val="nil"/>
            </w:tcBorders>
            <w:shd w:val="clear" w:color="auto" w:fill="auto"/>
            <w:tcMar>
              <w:top w:w="80" w:type="dxa"/>
              <w:left w:w="80" w:type="dxa"/>
              <w:bottom w:w="80" w:type="dxa"/>
              <w:right w:w="80" w:type="dxa"/>
            </w:tcMar>
          </w:tcPr>
          <w:p w14:paraId="6C1F1AD5" w14:textId="77777777" w:rsidR="00DA349F" w:rsidRPr="0099743C" w:rsidRDefault="00DA349F" w:rsidP="0099743C"/>
        </w:tc>
        <w:tc>
          <w:tcPr>
            <w:tcW w:w="671" w:type="dxa"/>
            <w:tcBorders>
              <w:top w:val="nil"/>
              <w:left w:val="nil"/>
              <w:bottom w:val="single" w:sz="4" w:space="0" w:color="000000"/>
              <w:right w:val="nil"/>
            </w:tcBorders>
            <w:shd w:val="clear" w:color="auto" w:fill="auto"/>
            <w:tcMar>
              <w:top w:w="80" w:type="dxa"/>
              <w:left w:w="80" w:type="dxa"/>
              <w:bottom w:w="80" w:type="dxa"/>
              <w:right w:w="80" w:type="dxa"/>
            </w:tcMar>
            <w:vAlign w:val="center"/>
          </w:tcPr>
          <w:p w14:paraId="6C1F1AD6" w14:textId="77777777" w:rsidR="00DA349F" w:rsidRPr="0099743C" w:rsidRDefault="00AB44E9" w:rsidP="0099743C">
            <w:pPr>
              <w:pBdr>
                <w:top w:val="nil"/>
                <w:left w:val="nil"/>
                <w:bottom w:val="nil"/>
                <w:right w:val="nil"/>
                <w:between w:val="nil"/>
              </w:pBdr>
              <w:spacing w:before="320" w:after="320"/>
              <w:jc w:val="right"/>
              <w:rPr>
                <w:rFonts w:ascii="Century Gothic" w:eastAsia="Century Gothic" w:hAnsi="Century Gothic"/>
                <w:color w:val="000000"/>
                <w:sz w:val="20"/>
              </w:rPr>
            </w:pPr>
            <w:r w:rsidRPr="0099743C">
              <w:rPr>
                <w:rFonts w:ascii="Century Gothic" w:eastAsia="Century Gothic" w:hAnsi="Century Gothic"/>
                <w:b/>
                <w:color w:val="000000"/>
              </w:rPr>
              <w:t xml:space="preserve">Risk </w:t>
            </w:r>
          </w:p>
        </w:tc>
        <w:tc>
          <w:tcPr>
            <w:tcW w:w="1320" w:type="dxa"/>
            <w:tcBorders>
              <w:top w:val="nil"/>
              <w:left w:val="nil"/>
              <w:bottom w:val="nil"/>
              <w:right w:val="nil"/>
            </w:tcBorders>
            <w:shd w:val="clear" w:color="auto" w:fill="auto"/>
            <w:tcMar>
              <w:top w:w="80" w:type="dxa"/>
              <w:left w:w="80" w:type="dxa"/>
              <w:bottom w:w="80" w:type="dxa"/>
              <w:right w:w="80" w:type="dxa"/>
            </w:tcMar>
          </w:tcPr>
          <w:p w14:paraId="6C1F1AD7" w14:textId="77777777" w:rsidR="00DA349F" w:rsidRPr="0099743C" w:rsidRDefault="00AB44E9" w:rsidP="0099743C">
            <w:pPr>
              <w:pBdr>
                <w:top w:val="nil"/>
                <w:left w:val="nil"/>
                <w:bottom w:val="nil"/>
                <w:right w:val="nil"/>
                <w:between w:val="nil"/>
              </w:pBdr>
              <w:spacing w:before="320" w:after="320"/>
              <w:rPr>
                <w:rFonts w:ascii="Century Gothic" w:eastAsia="Century Gothic" w:hAnsi="Century Gothic"/>
                <w:color w:val="000000"/>
                <w:sz w:val="20"/>
              </w:rPr>
            </w:pPr>
            <w:r w:rsidRPr="0099743C">
              <w:rPr>
                <w:rFonts w:ascii="Century Gothic" w:eastAsia="Century Gothic" w:hAnsi="Century Gothic"/>
                <w:b/>
                <w:color w:val="000000"/>
              </w:rPr>
              <w:t>Level</w:t>
            </w:r>
          </w:p>
        </w:tc>
        <w:tc>
          <w:tcPr>
            <w:tcW w:w="105" w:type="dxa"/>
            <w:tcBorders>
              <w:top w:val="nil"/>
              <w:left w:val="nil"/>
              <w:bottom w:val="nil"/>
              <w:right w:val="nil"/>
            </w:tcBorders>
            <w:shd w:val="clear" w:color="auto" w:fill="auto"/>
            <w:tcMar>
              <w:top w:w="80" w:type="dxa"/>
              <w:left w:w="80" w:type="dxa"/>
              <w:bottom w:w="80" w:type="dxa"/>
              <w:right w:w="80" w:type="dxa"/>
            </w:tcMar>
          </w:tcPr>
          <w:p w14:paraId="6C1F1AD8" w14:textId="77777777" w:rsidR="00DA349F" w:rsidRDefault="00DA349F"/>
        </w:tc>
      </w:tr>
      <w:tr w:rsidR="00C64896" w14:paraId="6C1F1AE5" w14:textId="77777777">
        <w:trPr>
          <w:trHeight w:val="425"/>
          <w:jc w:val="center"/>
        </w:trPr>
        <w:tc>
          <w:tcPr>
            <w:tcW w:w="907" w:type="dxa"/>
            <w:vMerge/>
            <w:tcBorders>
              <w:top w:val="nil"/>
              <w:left w:val="nil"/>
              <w:bottom w:val="nil"/>
              <w:right w:val="single" w:sz="4" w:space="0" w:color="000000"/>
            </w:tcBorders>
            <w:shd w:val="clear" w:color="auto" w:fill="auto"/>
            <w:tcMar>
              <w:top w:w="80" w:type="dxa"/>
              <w:left w:w="193" w:type="dxa"/>
              <w:bottom w:w="80" w:type="dxa"/>
              <w:right w:w="193" w:type="dxa"/>
            </w:tcMar>
            <w:vAlign w:val="bottom"/>
          </w:tcPr>
          <w:p w14:paraId="6C1F1ADA" w14:textId="77777777" w:rsidR="00DA349F" w:rsidRPr="0099743C" w:rsidRDefault="00DA349F" w:rsidP="0099743C">
            <w:pPr>
              <w:widowControl w:val="0"/>
              <w:pBdr>
                <w:top w:val="nil"/>
                <w:left w:val="nil"/>
                <w:bottom w:val="nil"/>
                <w:right w:val="nil"/>
                <w:between w:val="nil"/>
              </w:pBdr>
              <w:spacing w:line="276" w:lineRule="auto"/>
            </w:pPr>
          </w:p>
        </w:tc>
        <w:tc>
          <w:tcPr>
            <w:tcW w:w="6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C1F1ADB" w14:textId="77777777" w:rsidR="00DA349F" w:rsidRPr="0099743C" w:rsidRDefault="00AB44E9" w:rsidP="0099743C">
            <w:pPr>
              <w:pBdr>
                <w:top w:val="nil"/>
                <w:left w:val="nil"/>
                <w:bottom w:val="nil"/>
                <w:right w:val="nil"/>
                <w:between w:val="nil"/>
              </w:pBdr>
              <w:spacing w:before="320" w:after="320"/>
              <w:jc w:val="center"/>
              <w:rPr>
                <w:rFonts w:ascii="Century Gothic" w:eastAsia="Century Gothic" w:hAnsi="Century Gothic"/>
                <w:color w:val="000000"/>
                <w:sz w:val="20"/>
              </w:rPr>
            </w:pPr>
            <w:r w:rsidRPr="0099743C">
              <w:rPr>
                <w:rFonts w:ascii="Century Gothic" w:eastAsia="Century Gothic" w:hAnsi="Century Gothic"/>
                <w:b/>
                <w:color w:val="000000"/>
                <w:sz w:val="20"/>
              </w:rPr>
              <w:t>4</w:t>
            </w:r>
          </w:p>
        </w:tc>
        <w:tc>
          <w:tcPr>
            <w:tcW w:w="979"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vAlign w:val="center"/>
          </w:tcPr>
          <w:p w14:paraId="6C1F1ADC" w14:textId="77777777" w:rsidR="00DA349F" w:rsidRPr="0099743C" w:rsidRDefault="00DA349F" w:rsidP="0099743C"/>
        </w:tc>
        <w:tc>
          <w:tcPr>
            <w:tcW w:w="979" w:type="dxa"/>
            <w:tcBorders>
              <w:top w:val="single" w:sz="4" w:space="0" w:color="000000"/>
              <w:left w:val="single" w:sz="4" w:space="0" w:color="000000"/>
              <w:bottom w:val="single" w:sz="4" w:space="0" w:color="000000"/>
              <w:right w:val="single" w:sz="4" w:space="0" w:color="000000"/>
            </w:tcBorders>
            <w:shd w:val="clear" w:color="auto" w:fill="9CC2E5"/>
            <w:tcMar>
              <w:top w:w="80" w:type="dxa"/>
              <w:left w:w="80" w:type="dxa"/>
              <w:bottom w:w="80" w:type="dxa"/>
              <w:right w:w="80" w:type="dxa"/>
            </w:tcMar>
            <w:vAlign w:val="center"/>
          </w:tcPr>
          <w:p w14:paraId="6C1F1ADD" w14:textId="77777777" w:rsidR="00DA349F" w:rsidRPr="0099743C" w:rsidRDefault="00DA349F" w:rsidP="0099743C"/>
        </w:tc>
        <w:tc>
          <w:tcPr>
            <w:tcW w:w="979" w:type="dxa"/>
            <w:tcBorders>
              <w:top w:val="single" w:sz="4" w:space="0" w:color="000000"/>
              <w:left w:val="single" w:sz="4" w:space="0" w:color="000000"/>
              <w:bottom w:val="single" w:sz="4" w:space="0" w:color="000000"/>
              <w:right w:val="single" w:sz="4" w:space="0" w:color="000000"/>
            </w:tcBorders>
            <w:shd w:val="clear" w:color="auto" w:fill="2E74B5"/>
            <w:tcMar>
              <w:top w:w="80" w:type="dxa"/>
              <w:left w:w="80" w:type="dxa"/>
              <w:bottom w:w="80" w:type="dxa"/>
              <w:right w:w="80" w:type="dxa"/>
            </w:tcMar>
            <w:vAlign w:val="center"/>
          </w:tcPr>
          <w:p w14:paraId="6C1F1ADE" w14:textId="77777777" w:rsidR="00DA349F" w:rsidRPr="0099743C" w:rsidRDefault="00DA349F" w:rsidP="0099743C"/>
        </w:tc>
        <w:tc>
          <w:tcPr>
            <w:tcW w:w="979" w:type="dxa"/>
            <w:tcBorders>
              <w:top w:val="single" w:sz="4" w:space="0" w:color="000000"/>
              <w:left w:val="single" w:sz="4" w:space="0" w:color="000000"/>
              <w:bottom w:val="single" w:sz="4" w:space="0" w:color="000000"/>
              <w:right w:val="single" w:sz="4" w:space="0" w:color="000000"/>
            </w:tcBorders>
            <w:shd w:val="clear" w:color="auto" w:fill="2E74B5"/>
            <w:tcMar>
              <w:top w:w="80" w:type="dxa"/>
              <w:left w:w="80" w:type="dxa"/>
              <w:bottom w:w="80" w:type="dxa"/>
              <w:right w:w="80" w:type="dxa"/>
            </w:tcMar>
            <w:vAlign w:val="center"/>
          </w:tcPr>
          <w:p w14:paraId="6C1F1ADF" w14:textId="77777777" w:rsidR="00DA349F" w:rsidRPr="0099743C" w:rsidRDefault="00DA349F" w:rsidP="0099743C"/>
        </w:tc>
        <w:tc>
          <w:tcPr>
            <w:tcW w:w="979" w:type="dxa"/>
            <w:tcBorders>
              <w:top w:val="single" w:sz="4" w:space="0" w:color="000000"/>
              <w:left w:val="single" w:sz="4" w:space="0" w:color="000000"/>
              <w:bottom w:val="single" w:sz="4" w:space="0" w:color="000000"/>
              <w:right w:val="single" w:sz="4" w:space="0" w:color="000000"/>
            </w:tcBorders>
            <w:shd w:val="clear" w:color="auto" w:fill="1F4E79"/>
            <w:tcMar>
              <w:top w:w="80" w:type="dxa"/>
              <w:left w:w="80" w:type="dxa"/>
              <w:bottom w:w="80" w:type="dxa"/>
              <w:right w:w="80" w:type="dxa"/>
            </w:tcMar>
            <w:vAlign w:val="center"/>
          </w:tcPr>
          <w:p w14:paraId="6C1F1AE0" w14:textId="77777777" w:rsidR="00DA349F" w:rsidRPr="0099743C" w:rsidRDefault="00DA349F" w:rsidP="0099743C"/>
        </w:tc>
        <w:tc>
          <w:tcPr>
            <w:tcW w:w="1365" w:type="dxa"/>
            <w:tcBorders>
              <w:top w:val="nil"/>
              <w:left w:val="single" w:sz="4" w:space="0" w:color="000000"/>
              <w:bottom w:val="nil"/>
              <w:right w:val="single" w:sz="4" w:space="0" w:color="000000"/>
            </w:tcBorders>
            <w:shd w:val="clear" w:color="auto" w:fill="auto"/>
            <w:tcMar>
              <w:top w:w="80" w:type="dxa"/>
              <w:left w:w="80" w:type="dxa"/>
              <w:bottom w:w="80" w:type="dxa"/>
              <w:right w:w="80" w:type="dxa"/>
            </w:tcMar>
          </w:tcPr>
          <w:p w14:paraId="6C1F1AE1" w14:textId="77777777" w:rsidR="00DA349F" w:rsidRPr="0099743C" w:rsidRDefault="00DA349F" w:rsidP="0099743C"/>
        </w:tc>
        <w:tc>
          <w:tcPr>
            <w:tcW w:w="671" w:type="dxa"/>
            <w:tcBorders>
              <w:top w:val="single" w:sz="4" w:space="0" w:color="000000"/>
              <w:left w:val="single" w:sz="4" w:space="0" w:color="000000"/>
              <w:bottom w:val="single" w:sz="4" w:space="0" w:color="000000"/>
              <w:right w:val="single" w:sz="4" w:space="0" w:color="000000"/>
            </w:tcBorders>
            <w:shd w:val="clear" w:color="auto" w:fill="1F4E79"/>
            <w:tcMar>
              <w:top w:w="80" w:type="dxa"/>
              <w:left w:w="80" w:type="dxa"/>
              <w:bottom w:w="80" w:type="dxa"/>
              <w:right w:w="80" w:type="dxa"/>
            </w:tcMar>
            <w:vAlign w:val="center"/>
          </w:tcPr>
          <w:p w14:paraId="6C1F1AE2" w14:textId="77777777" w:rsidR="00DA349F" w:rsidRPr="0099743C" w:rsidRDefault="00DA349F" w:rsidP="0099743C"/>
        </w:tc>
        <w:tc>
          <w:tcPr>
            <w:tcW w:w="1320" w:type="dxa"/>
            <w:tcBorders>
              <w:top w:val="nil"/>
              <w:left w:val="single" w:sz="4" w:space="0" w:color="000000"/>
              <w:bottom w:val="nil"/>
              <w:right w:val="nil"/>
            </w:tcBorders>
            <w:shd w:val="clear" w:color="auto" w:fill="auto"/>
            <w:tcMar>
              <w:top w:w="80" w:type="dxa"/>
              <w:left w:w="80" w:type="dxa"/>
              <w:bottom w:w="80" w:type="dxa"/>
              <w:right w:w="80" w:type="dxa"/>
            </w:tcMar>
          </w:tcPr>
          <w:p w14:paraId="6C1F1AE3" w14:textId="77777777" w:rsidR="00DA349F" w:rsidRPr="0099743C" w:rsidRDefault="00AB44E9" w:rsidP="0099743C">
            <w:pPr>
              <w:pBdr>
                <w:top w:val="nil"/>
                <w:left w:val="nil"/>
                <w:bottom w:val="nil"/>
                <w:right w:val="nil"/>
                <w:between w:val="nil"/>
              </w:pBdr>
              <w:spacing w:before="320" w:after="320"/>
              <w:rPr>
                <w:rFonts w:ascii="Century Gothic" w:eastAsia="Century Gothic" w:hAnsi="Century Gothic"/>
                <w:color w:val="000000"/>
                <w:sz w:val="20"/>
              </w:rPr>
            </w:pPr>
            <w:r w:rsidRPr="0099743C">
              <w:rPr>
                <w:rFonts w:ascii="Century Gothic" w:eastAsia="Century Gothic" w:hAnsi="Century Gothic"/>
                <w:b/>
                <w:color w:val="000000"/>
                <w:sz w:val="18"/>
              </w:rPr>
              <w:t>HIGH</w:t>
            </w:r>
          </w:p>
        </w:tc>
        <w:tc>
          <w:tcPr>
            <w:tcW w:w="105" w:type="dxa"/>
            <w:tcBorders>
              <w:top w:val="nil"/>
              <w:left w:val="nil"/>
              <w:bottom w:val="nil"/>
              <w:right w:val="nil"/>
            </w:tcBorders>
            <w:shd w:val="clear" w:color="auto" w:fill="auto"/>
            <w:tcMar>
              <w:top w:w="80" w:type="dxa"/>
              <w:left w:w="80" w:type="dxa"/>
              <w:bottom w:w="80" w:type="dxa"/>
              <w:right w:w="80" w:type="dxa"/>
            </w:tcMar>
          </w:tcPr>
          <w:p w14:paraId="6C1F1AE4" w14:textId="77777777" w:rsidR="00DA349F" w:rsidRDefault="00DA349F"/>
        </w:tc>
      </w:tr>
      <w:tr w:rsidR="00C64896" w14:paraId="6C1F1AF1" w14:textId="77777777">
        <w:trPr>
          <w:trHeight w:val="460"/>
          <w:jc w:val="center"/>
        </w:trPr>
        <w:tc>
          <w:tcPr>
            <w:tcW w:w="907" w:type="dxa"/>
            <w:vMerge/>
            <w:tcBorders>
              <w:top w:val="nil"/>
              <w:left w:val="nil"/>
              <w:bottom w:val="nil"/>
              <w:right w:val="single" w:sz="4" w:space="0" w:color="000000"/>
            </w:tcBorders>
            <w:shd w:val="clear" w:color="auto" w:fill="auto"/>
            <w:tcMar>
              <w:top w:w="80" w:type="dxa"/>
              <w:left w:w="193" w:type="dxa"/>
              <w:bottom w:w="80" w:type="dxa"/>
              <w:right w:w="193" w:type="dxa"/>
            </w:tcMar>
            <w:vAlign w:val="bottom"/>
          </w:tcPr>
          <w:p w14:paraId="6C1F1AE6" w14:textId="77777777" w:rsidR="00DA349F" w:rsidRPr="0099743C" w:rsidRDefault="00DA349F" w:rsidP="0099743C">
            <w:pPr>
              <w:widowControl w:val="0"/>
              <w:pBdr>
                <w:top w:val="nil"/>
                <w:left w:val="nil"/>
                <w:bottom w:val="nil"/>
                <w:right w:val="nil"/>
                <w:between w:val="nil"/>
              </w:pBdr>
              <w:spacing w:line="276" w:lineRule="auto"/>
            </w:pPr>
          </w:p>
        </w:tc>
        <w:tc>
          <w:tcPr>
            <w:tcW w:w="6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C1F1AE7" w14:textId="77777777" w:rsidR="00DA349F" w:rsidRPr="0099743C" w:rsidRDefault="00AB44E9" w:rsidP="0099743C">
            <w:pPr>
              <w:pBdr>
                <w:top w:val="nil"/>
                <w:left w:val="nil"/>
                <w:bottom w:val="nil"/>
                <w:right w:val="nil"/>
                <w:between w:val="nil"/>
              </w:pBdr>
              <w:spacing w:before="320" w:after="320"/>
              <w:jc w:val="center"/>
              <w:rPr>
                <w:rFonts w:ascii="Century Gothic" w:eastAsia="Century Gothic" w:hAnsi="Century Gothic"/>
                <w:color w:val="000000"/>
                <w:sz w:val="20"/>
              </w:rPr>
            </w:pPr>
            <w:r w:rsidRPr="0099743C">
              <w:rPr>
                <w:rFonts w:ascii="Century Gothic" w:eastAsia="Century Gothic" w:hAnsi="Century Gothic"/>
                <w:b/>
                <w:color w:val="000000"/>
                <w:sz w:val="20"/>
              </w:rPr>
              <w:t>3</w:t>
            </w:r>
          </w:p>
        </w:tc>
        <w:tc>
          <w:tcPr>
            <w:tcW w:w="979"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vAlign w:val="center"/>
          </w:tcPr>
          <w:p w14:paraId="6C1F1AE8" w14:textId="77777777" w:rsidR="00DA349F" w:rsidRPr="0099743C" w:rsidRDefault="00DA349F" w:rsidP="0099743C"/>
        </w:tc>
        <w:tc>
          <w:tcPr>
            <w:tcW w:w="979" w:type="dxa"/>
            <w:tcBorders>
              <w:top w:val="single" w:sz="4" w:space="0" w:color="000000"/>
              <w:left w:val="single" w:sz="4" w:space="0" w:color="000000"/>
              <w:bottom w:val="single" w:sz="4" w:space="0" w:color="000000"/>
              <w:right w:val="single" w:sz="4" w:space="0" w:color="000000"/>
            </w:tcBorders>
            <w:shd w:val="clear" w:color="auto" w:fill="9CC2E5"/>
            <w:tcMar>
              <w:top w:w="80" w:type="dxa"/>
              <w:left w:w="80" w:type="dxa"/>
              <w:bottom w:w="80" w:type="dxa"/>
              <w:right w:w="80" w:type="dxa"/>
            </w:tcMar>
            <w:vAlign w:val="center"/>
          </w:tcPr>
          <w:p w14:paraId="6C1F1AE9" w14:textId="77777777" w:rsidR="00DA349F" w:rsidRPr="0099743C" w:rsidRDefault="00DA349F" w:rsidP="0099743C"/>
        </w:tc>
        <w:tc>
          <w:tcPr>
            <w:tcW w:w="979" w:type="dxa"/>
            <w:tcBorders>
              <w:top w:val="single" w:sz="4" w:space="0" w:color="000000"/>
              <w:left w:val="single" w:sz="4" w:space="0" w:color="000000"/>
              <w:bottom w:val="single" w:sz="4" w:space="0" w:color="000000"/>
              <w:right w:val="single" w:sz="4" w:space="0" w:color="000000"/>
            </w:tcBorders>
            <w:shd w:val="clear" w:color="auto" w:fill="9CC2E5"/>
            <w:tcMar>
              <w:top w:w="80" w:type="dxa"/>
              <w:left w:w="80" w:type="dxa"/>
              <w:bottom w:w="80" w:type="dxa"/>
              <w:right w:w="80" w:type="dxa"/>
            </w:tcMar>
            <w:vAlign w:val="center"/>
          </w:tcPr>
          <w:p w14:paraId="6C1F1AEA" w14:textId="77777777" w:rsidR="00DA349F" w:rsidRPr="0099743C" w:rsidRDefault="00DA349F" w:rsidP="0099743C"/>
        </w:tc>
        <w:tc>
          <w:tcPr>
            <w:tcW w:w="979" w:type="dxa"/>
            <w:tcBorders>
              <w:top w:val="single" w:sz="4" w:space="0" w:color="000000"/>
              <w:left w:val="single" w:sz="4" w:space="0" w:color="000000"/>
              <w:bottom w:val="single" w:sz="4" w:space="0" w:color="000000"/>
              <w:right w:val="single" w:sz="4" w:space="0" w:color="000000"/>
            </w:tcBorders>
            <w:shd w:val="clear" w:color="auto" w:fill="9CC2E5"/>
            <w:tcMar>
              <w:top w:w="80" w:type="dxa"/>
              <w:left w:w="80" w:type="dxa"/>
              <w:bottom w:w="80" w:type="dxa"/>
              <w:right w:w="80" w:type="dxa"/>
            </w:tcMar>
            <w:vAlign w:val="center"/>
          </w:tcPr>
          <w:p w14:paraId="6C1F1AEB" w14:textId="77777777" w:rsidR="00DA349F" w:rsidRPr="0099743C" w:rsidRDefault="00DA349F" w:rsidP="0099743C"/>
        </w:tc>
        <w:tc>
          <w:tcPr>
            <w:tcW w:w="979" w:type="dxa"/>
            <w:tcBorders>
              <w:top w:val="single" w:sz="4" w:space="0" w:color="000000"/>
              <w:left w:val="single" w:sz="4" w:space="0" w:color="000000"/>
              <w:bottom w:val="single" w:sz="4" w:space="0" w:color="000000"/>
              <w:right w:val="single" w:sz="4" w:space="0" w:color="000000"/>
            </w:tcBorders>
            <w:shd w:val="clear" w:color="auto" w:fill="2E74B5"/>
            <w:tcMar>
              <w:top w:w="80" w:type="dxa"/>
              <w:left w:w="80" w:type="dxa"/>
              <w:bottom w:w="80" w:type="dxa"/>
              <w:right w:w="80" w:type="dxa"/>
            </w:tcMar>
            <w:vAlign w:val="center"/>
          </w:tcPr>
          <w:p w14:paraId="6C1F1AEC" w14:textId="77777777" w:rsidR="00DA349F" w:rsidRPr="0099743C" w:rsidRDefault="00DA349F" w:rsidP="0099743C"/>
        </w:tc>
        <w:tc>
          <w:tcPr>
            <w:tcW w:w="1365" w:type="dxa"/>
            <w:tcBorders>
              <w:top w:val="nil"/>
              <w:left w:val="single" w:sz="4" w:space="0" w:color="000000"/>
              <w:bottom w:val="nil"/>
              <w:right w:val="single" w:sz="4" w:space="0" w:color="000000"/>
            </w:tcBorders>
            <w:shd w:val="clear" w:color="auto" w:fill="auto"/>
            <w:tcMar>
              <w:top w:w="80" w:type="dxa"/>
              <w:left w:w="80" w:type="dxa"/>
              <w:bottom w:w="80" w:type="dxa"/>
              <w:right w:w="80" w:type="dxa"/>
            </w:tcMar>
          </w:tcPr>
          <w:p w14:paraId="6C1F1AED" w14:textId="77777777" w:rsidR="00DA349F" w:rsidRPr="0099743C" w:rsidRDefault="00DA349F" w:rsidP="0099743C"/>
        </w:tc>
        <w:tc>
          <w:tcPr>
            <w:tcW w:w="671" w:type="dxa"/>
            <w:tcBorders>
              <w:top w:val="single" w:sz="4" w:space="0" w:color="000000"/>
              <w:left w:val="single" w:sz="4" w:space="0" w:color="000000"/>
              <w:bottom w:val="single" w:sz="4" w:space="0" w:color="000000"/>
              <w:right w:val="single" w:sz="4" w:space="0" w:color="000000"/>
            </w:tcBorders>
            <w:shd w:val="clear" w:color="auto" w:fill="2E74B5"/>
            <w:tcMar>
              <w:top w:w="80" w:type="dxa"/>
              <w:left w:w="80" w:type="dxa"/>
              <w:bottom w:w="80" w:type="dxa"/>
              <w:right w:w="80" w:type="dxa"/>
            </w:tcMar>
            <w:vAlign w:val="center"/>
          </w:tcPr>
          <w:p w14:paraId="6C1F1AEE" w14:textId="77777777" w:rsidR="00DA349F" w:rsidRPr="0099743C" w:rsidRDefault="00DA349F" w:rsidP="0099743C"/>
        </w:tc>
        <w:tc>
          <w:tcPr>
            <w:tcW w:w="1320" w:type="dxa"/>
            <w:tcBorders>
              <w:top w:val="nil"/>
              <w:left w:val="single" w:sz="4" w:space="0" w:color="000000"/>
              <w:bottom w:val="nil"/>
              <w:right w:val="nil"/>
            </w:tcBorders>
            <w:shd w:val="clear" w:color="auto" w:fill="auto"/>
            <w:tcMar>
              <w:top w:w="80" w:type="dxa"/>
              <w:left w:w="80" w:type="dxa"/>
              <w:bottom w:w="80" w:type="dxa"/>
              <w:right w:w="80" w:type="dxa"/>
            </w:tcMar>
          </w:tcPr>
          <w:p w14:paraId="6C1F1AEF" w14:textId="77777777" w:rsidR="00DA349F" w:rsidRPr="0099743C" w:rsidRDefault="00AB44E9" w:rsidP="0099743C">
            <w:pPr>
              <w:pBdr>
                <w:top w:val="nil"/>
                <w:left w:val="nil"/>
                <w:bottom w:val="nil"/>
                <w:right w:val="nil"/>
                <w:between w:val="nil"/>
              </w:pBdr>
              <w:spacing w:before="320" w:after="320"/>
              <w:rPr>
                <w:rFonts w:ascii="Century Gothic" w:eastAsia="Century Gothic" w:hAnsi="Century Gothic"/>
                <w:color w:val="000000"/>
                <w:sz w:val="20"/>
              </w:rPr>
            </w:pPr>
            <w:r w:rsidRPr="0099743C">
              <w:rPr>
                <w:rFonts w:ascii="Century Gothic" w:eastAsia="Century Gothic" w:hAnsi="Century Gothic"/>
                <w:b/>
                <w:color w:val="000000"/>
                <w:sz w:val="18"/>
              </w:rPr>
              <w:t>SUBSTANTIAL</w:t>
            </w:r>
          </w:p>
        </w:tc>
        <w:tc>
          <w:tcPr>
            <w:tcW w:w="105" w:type="dxa"/>
            <w:tcBorders>
              <w:top w:val="nil"/>
              <w:left w:val="nil"/>
              <w:bottom w:val="nil"/>
              <w:right w:val="nil"/>
            </w:tcBorders>
            <w:shd w:val="clear" w:color="auto" w:fill="auto"/>
            <w:tcMar>
              <w:top w:w="80" w:type="dxa"/>
              <w:left w:w="80" w:type="dxa"/>
              <w:bottom w:w="80" w:type="dxa"/>
              <w:right w:w="80" w:type="dxa"/>
            </w:tcMar>
          </w:tcPr>
          <w:p w14:paraId="6C1F1AF0" w14:textId="77777777" w:rsidR="00DA349F" w:rsidRDefault="00DA349F"/>
        </w:tc>
      </w:tr>
      <w:tr w:rsidR="00C64896" w14:paraId="6C1F1AFD" w14:textId="77777777">
        <w:trPr>
          <w:trHeight w:val="293"/>
          <w:jc w:val="center"/>
        </w:trPr>
        <w:tc>
          <w:tcPr>
            <w:tcW w:w="907" w:type="dxa"/>
            <w:vMerge/>
            <w:tcBorders>
              <w:top w:val="nil"/>
              <w:left w:val="nil"/>
              <w:bottom w:val="nil"/>
              <w:right w:val="single" w:sz="4" w:space="0" w:color="000000"/>
            </w:tcBorders>
            <w:shd w:val="clear" w:color="auto" w:fill="auto"/>
            <w:tcMar>
              <w:top w:w="80" w:type="dxa"/>
              <w:left w:w="193" w:type="dxa"/>
              <w:bottom w:w="80" w:type="dxa"/>
              <w:right w:w="193" w:type="dxa"/>
            </w:tcMar>
            <w:vAlign w:val="bottom"/>
          </w:tcPr>
          <w:p w14:paraId="6C1F1AF2" w14:textId="77777777" w:rsidR="00DA349F" w:rsidRPr="0099743C" w:rsidRDefault="00DA349F" w:rsidP="0099743C">
            <w:pPr>
              <w:widowControl w:val="0"/>
              <w:pBdr>
                <w:top w:val="nil"/>
                <w:left w:val="nil"/>
                <w:bottom w:val="nil"/>
                <w:right w:val="nil"/>
                <w:between w:val="nil"/>
              </w:pBdr>
              <w:spacing w:line="276" w:lineRule="auto"/>
            </w:pPr>
          </w:p>
        </w:tc>
        <w:tc>
          <w:tcPr>
            <w:tcW w:w="6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C1F1AF3" w14:textId="77777777" w:rsidR="00DA349F" w:rsidRPr="0099743C" w:rsidRDefault="00AB44E9" w:rsidP="0099743C">
            <w:pPr>
              <w:pBdr>
                <w:top w:val="nil"/>
                <w:left w:val="nil"/>
                <w:bottom w:val="nil"/>
                <w:right w:val="nil"/>
                <w:between w:val="nil"/>
              </w:pBdr>
              <w:spacing w:before="320" w:after="320"/>
              <w:jc w:val="center"/>
              <w:rPr>
                <w:rFonts w:ascii="Century Gothic" w:eastAsia="Century Gothic" w:hAnsi="Century Gothic"/>
                <w:color w:val="000000"/>
                <w:sz w:val="20"/>
              </w:rPr>
            </w:pPr>
            <w:r w:rsidRPr="0099743C">
              <w:rPr>
                <w:rFonts w:ascii="Century Gothic" w:eastAsia="Century Gothic" w:hAnsi="Century Gothic"/>
                <w:b/>
                <w:color w:val="000000"/>
                <w:sz w:val="20"/>
              </w:rPr>
              <w:t>2</w:t>
            </w:r>
          </w:p>
        </w:tc>
        <w:tc>
          <w:tcPr>
            <w:tcW w:w="979"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vAlign w:val="center"/>
          </w:tcPr>
          <w:p w14:paraId="6C1F1AF4" w14:textId="77777777" w:rsidR="00DA349F" w:rsidRPr="0099743C" w:rsidRDefault="00DA349F" w:rsidP="0099743C"/>
        </w:tc>
        <w:tc>
          <w:tcPr>
            <w:tcW w:w="979"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vAlign w:val="center"/>
          </w:tcPr>
          <w:p w14:paraId="6C1F1AF5" w14:textId="77777777" w:rsidR="00DA349F" w:rsidRPr="0099743C" w:rsidRDefault="00DA349F" w:rsidP="0099743C"/>
        </w:tc>
        <w:tc>
          <w:tcPr>
            <w:tcW w:w="979"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vAlign w:val="center"/>
          </w:tcPr>
          <w:p w14:paraId="6C1F1AF6" w14:textId="77777777" w:rsidR="00DA349F" w:rsidRPr="0099743C" w:rsidRDefault="00DA349F" w:rsidP="0099743C"/>
        </w:tc>
        <w:tc>
          <w:tcPr>
            <w:tcW w:w="979" w:type="dxa"/>
            <w:tcBorders>
              <w:top w:val="single" w:sz="4" w:space="0" w:color="000000"/>
              <w:left w:val="single" w:sz="4" w:space="0" w:color="000000"/>
              <w:bottom w:val="single" w:sz="4" w:space="0" w:color="000000"/>
              <w:right w:val="single" w:sz="4" w:space="0" w:color="000000"/>
            </w:tcBorders>
            <w:shd w:val="clear" w:color="auto" w:fill="9CC2E5"/>
            <w:tcMar>
              <w:top w:w="80" w:type="dxa"/>
              <w:left w:w="80" w:type="dxa"/>
              <w:bottom w:w="80" w:type="dxa"/>
              <w:right w:w="80" w:type="dxa"/>
            </w:tcMar>
            <w:vAlign w:val="center"/>
          </w:tcPr>
          <w:p w14:paraId="6C1F1AF7" w14:textId="77777777" w:rsidR="00DA349F" w:rsidRPr="0099743C" w:rsidRDefault="00DA349F" w:rsidP="0099743C"/>
        </w:tc>
        <w:tc>
          <w:tcPr>
            <w:tcW w:w="979" w:type="dxa"/>
            <w:tcBorders>
              <w:top w:val="single" w:sz="4" w:space="0" w:color="000000"/>
              <w:left w:val="single" w:sz="4" w:space="0" w:color="000000"/>
              <w:bottom w:val="single" w:sz="4" w:space="0" w:color="000000"/>
              <w:right w:val="single" w:sz="4" w:space="0" w:color="000000"/>
            </w:tcBorders>
            <w:shd w:val="clear" w:color="auto" w:fill="9CC2E5"/>
            <w:tcMar>
              <w:top w:w="80" w:type="dxa"/>
              <w:left w:w="80" w:type="dxa"/>
              <w:bottom w:w="80" w:type="dxa"/>
              <w:right w:w="80" w:type="dxa"/>
            </w:tcMar>
            <w:vAlign w:val="center"/>
          </w:tcPr>
          <w:p w14:paraId="6C1F1AF8" w14:textId="77777777" w:rsidR="00DA349F" w:rsidRPr="0099743C" w:rsidRDefault="00DA349F" w:rsidP="0099743C"/>
        </w:tc>
        <w:tc>
          <w:tcPr>
            <w:tcW w:w="1365" w:type="dxa"/>
            <w:tcBorders>
              <w:top w:val="nil"/>
              <w:left w:val="single" w:sz="4" w:space="0" w:color="000000"/>
              <w:bottom w:val="nil"/>
              <w:right w:val="single" w:sz="4" w:space="0" w:color="000000"/>
            </w:tcBorders>
            <w:shd w:val="clear" w:color="auto" w:fill="auto"/>
            <w:tcMar>
              <w:top w:w="80" w:type="dxa"/>
              <w:left w:w="80" w:type="dxa"/>
              <w:bottom w:w="80" w:type="dxa"/>
              <w:right w:w="80" w:type="dxa"/>
            </w:tcMar>
          </w:tcPr>
          <w:p w14:paraId="6C1F1AF9" w14:textId="77777777" w:rsidR="00DA349F" w:rsidRPr="0099743C" w:rsidRDefault="00DA349F" w:rsidP="0099743C"/>
        </w:tc>
        <w:tc>
          <w:tcPr>
            <w:tcW w:w="671" w:type="dxa"/>
            <w:tcBorders>
              <w:top w:val="single" w:sz="4" w:space="0" w:color="000000"/>
              <w:left w:val="single" w:sz="4" w:space="0" w:color="000000"/>
              <w:bottom w:val="single" w:sz="4" w:space="0" w:color="000000"/>
              <w:right w:val="single" w:sz="4" w:space="0" w:color="000000"/>
            </w:tcBorders>
            <w:shd w:val="clear" w:color="auto" w:fill="9CC2E5"/>
            <w:tcMar>
              <w:top w:w="80" w:type="dxa"/>
              <w:left w:w="80" w:type="dxa"/>
              <w:bottom w:w="80" w:type="dxa"/>
              <w:right w:w="80" w:type="dxa"/>
            </w:tcMar>
            <w:vAlign w:val="center"/>
          </w:tcPr>
          <w:p w14:paraId="6C1F1AFA" w14:textId="77777777" w:rsidR="00DA349F" w:rsidRPr="0099743C" w:rsidRDefault="00DA349F" w:rsidP="0099743C"/>
        </w:tc>
        <w:tc>
          <w:tcPr>
            <w:tcW w:w="1320" w:type="dxa"/>
            <w:tcBorders>
              <w:top w:val="nil"/>
              <w:left w:val="single" w:sz="4" w:space="0" w:color="000000"/>
              <w:bottom w:val="nil"/>
              <w:right w:val="nil"/>
            </w:tcBorders>
            <w:shd w:val="clear" w:color="auto" w:fill="auto"/>
            <w:tcMar>
              <w:top w:w="80" w:type="dxa"/>
              <w:left w:w="80" w:type="dxa"/>
              <w:bottom w:w="80" w:type="dxa"/>
              <w:right w:w="80" w:type="dxa"/>
            </w:tcMar>
          </w:tcPr>
          <w:p w14:paraId="6C1F1AFB" w14:textId="77777777" w:rsidR="00DA349F" w:rsidRPr="0099743C" w:rsidRDefault="00AB44E9" w:rsidP="0099743C">
            <w:pPr>
              <w:pBdr>
                <w:top w:val="nil"/>
                <w:left w:val="nil"/>
                <w:bottom w:val="nil"/>
                <w:right w:val="nil"/>
                <w:between w:val="nil"/>
              </w:pBdr>
              <w:spacing w:before="320" w:after="320"/>
              <w:rPr>
                <w:rFonts w:ascii="Century Gothic" w:eastAsia="Century Gothic" w:hAnsi="Century Gothic"/>
                <w:color w:val="000000"/>
                <w:sz w:val="20"/>
              </w:rPr>
            </w:pPr>
            <w:r w:rsidRPr="0099743C">
              <w:rPr>
                <w:rFonts w:ascii="Century Gothic" w:eastAsia="Century Gothic" w:hAnsi="Century Gothic"/>
                <w:b/>
                <w:color w:val="000000"/>
                <w:sz w:val="18"/>
              </w:rPr>
              <w:t>MODERATE</w:t>
            </w:r>
          </w:p>
        </w:tc>
        <w:tc>
          <w:tcPr>
            <w:tcW w:w="105" w:type="dxa"/>
            <w:tcBorders>
              <w:top w:val="nil"/>
              <w:left w:val="nil"/>
              <w:bottom w:val="nil"/>
              <w:right w:val="nil"/>
            </w:tcBorders>
            <w:shd w:val="clear" w:color="auto" w:fill="auto"/>
            <w:tcMar>
              <w:top w:w="80" w:type="dxa"/>
              <w:left w:w="80" w:type="dxa"/>
              <w:bottom w:w="80" w:type="dxa"/>
              <w:right w:w="80" w:type="dxa"/>
            </w:tcMar>
          </w:tcPr>
          <w:p w14:paraId="6C1F1AFC" w14:textId="77777777" w:rsidR="00DA349F" w:rsidRDefault="00DA349F"/>
        </w:tc>
      </w:tr>
      <w:tr w:rsidR="00C64896" w14:paraId="6C1F1B09" w14:textId="77777777">
        <w:trPr>
          <w:trHeight w:val="293"/>
          <w:jc w:val="center"/>
        </w:trPr>
        <w:tc>
          <w:tcPr>
            <w:tcW w:w="907" w:type="dxa"/>
            <w:vMerge/>
            <w:tcBorders>
              <w:top w:val="nil"/>
              <w:left w:val="nil"/>
              <w:bottom w:val="nil"/>
              <w:right w:val="single" w:sz="4" w:space="0" w:color="000000"/>
            </w:tcBorders>
            <w:shd w:val="clear" w:color="auto" w:fill="auto"/>
            <w:tcMar>
              <w:top w:w="80" w:type="dxa"/>
              <w:left w:w="193" w:type="dxa"/>
              <w:bottom w:w="80" w:type="dxa"/>
              <w:right w:w="193" w:type="dxa"/>
            </w:tcMar>
            <w:vAlign w:val="bottom"/>
          </w:tcPr>
          <w:p w14:paraId="6C1F1AFE" w14:textId="77777777" w:rsidR="00DA349F" w:rsidRPr="0099743C" w:rsidRDefault="00DA349F" w:rsidP="0099743C">
            <w:pPr>
              <w:widowControl w:val="0"/>
              <w:pBdr>
                <w:top w:val="nil"/>
                <w:left w:val="nil"/>
                <w:bottom w:val="nil"/>
                <w:right w:val="nil"/>
                <w:between w:val="nil"/>
              </w:pBdr>
              <w:spacing w:line="276" w:lineRule="auto"/>
            </w:pPr>
          </w:p>
        </w:tc>
        <w:tc>
          <w:tcPr>
            <w:tcW w:w="6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C1F1AFF" w14:textId="77777777" w:rsidR="00DA349F" w:rsidRPr="0099743C" w:rsidRDefault="00AB44E9" w:rsidP="0099743C">
            <w:pPr>
              <w:pBdr>
                <w:top w:val="nil"/>
                <w:left w:val="nil"/>
                <w:bottom w:val="nil"/>
                <w:right w:val="nil"/>
                <w:between w:val="nil"/>
              </w:pBdr>
              <w:spacing w:before="320" w:after="320"/>
              <w:jc w:val="center"/>
              <w:rPr>
                <w:rFonts w:ascii="Century Gothic" w:eastAsia="Century Gothic" w:hAnsi="Century Gothic"/>
                <w:color w:val="000000"/>
                <w:sz w:val="20"/>
              </w:rPr>
            </w:pPr>
            <w:r w:rsidRPr="0099743C">
              <w:rPr>
                <w:rFonts w:ascii="Century Gothic" w:eastAsia="Century Gothic" w:hAnsi="Century Gothic"/>
                <w:b/>
                <w:color w:val="000000"/>
                <w:sz w:val="20"/>
              </w:rPr>
              <w:t>1</w:t>
            </w:r>
          </w:p>
        </w:tc>
        <w:tc>
          <w:tcPr>
            <w:tcW w:w="979"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vAlign w:val="center"/>
          </w:tcPr>
          <w:p w14:paraId="6C1F1B00" w14:textId="77777777" w:rsidR="00DA349F" w:rsidRPr="0099743C" w:rsidRDefault="00DA349F" w:rsidP="0099743C"/>
        </w:tc>
        <w:tc>
          <w:tcPr>
            <w:tcW w:w="979"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vAlign w:val="center"/>
          </w:tcPr>
          <w:p w14:paraId="6C1F1B01" w14:textId="77777777" w:rsidR="00DA349F" w:rsidRPr="0099743C" w:rsidRDefault="00DA349F" w:rsidP="0099743C"/>
        </w:tc>
        <w:tc>
          <w:tcPr>
            <w:tcW w:w="979"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vAlign w:val="center"/>
          </w:tcPr>
          <w:p w14:paraId="6C1F1B02" w14:textId="77777777" w:rsidR="00DA349F" w:rsidRPr="0099743C" w:rsidRDefault="00DA349F" w:rsidP="0099743C"/>
        </w:tc>
        <w:tc>
          <w:tcPr>
            <w:tcW w:w="979"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vAlign w:val="center"/>
          </w:tcPr>
          <w:p w14:paraId="6C1F1B03" w14:textId="77777777" w:rsidR="00DA349F" w:rsidRPr="0099743C" w:rsidRDefault="00DA349F" w:rsidP="0099743C"/>
        </w:tc>
        <w:tc>
          <w:tcPr>
            <w:tcW w:w="979"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vAlign w:val="center"/>
          </w:tcPr>
          <w:p w14:paraId="6C1F1B04" w14:textId="77777777" w:rsidR="00DA349F" w:rsidRPr="0099743C" w:rsidRDefault="00DA349F" w:rsidP="0099743C"/>
        </w:tc>
        <w:tc>
          <w:tcPr>
            <w:tcW w:w="1365" w:type="dxa"/>
            <w:tcBorders>
              <w:top w:val="nil"/>
              <w:left w:val="single" w:sz="4" w:space="0" w:color="000000"/>
              <w:bottom w:val="nil"/>
              <w:right w:val="single" w:sz="4" w:space="0" w:color="000000"/>
            </w:tcBorders>
            <w:shd w:val="clear" w:color="auto" w:fill="auto"/>
            <w:tcMar>
              <w:top w:w="80" w:type="dxa"/>
              <w:left w:w="80" w:type="dxa"/>
              <w:bottom w:w="80" w:type="dxa"/>
              <w:right w:w="80" w:type="dxa"/>
            </w:tcMar>
          </w:tcPr>
          <w:p w14:paraId="6C1F1B05" w14:textId="77777777" w:rsidR="00DA349F" w:rsidRPr="0099743C" w:rsidRDefault="00DA349F" w:rsidP="0099743C"/>
        </w:tc>
        <w:tc>
          <w:tcPr>
            <w:tcW w:w="671"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vAlign w:val="center"/>
          </w:tcPr>
          <w:p w14:paraId="6C1F1B06" w14:textId="77777777" w:rsidR="00DA349F" w:rsidRPr="0099743C" w:rsidRDefault="00DA349F" w:rsidP="0099743C"/>
        </w:tc>
        <w:tc>
          <w:tcPr>
            <w:tcW w:w="1320" w:type="dxa"/>
            <w:tcBorders>
              <w:top w:val="nil"/>
              <w:left w:val="single" w:sz="4" w:space="0" w:color="000000"/>
              <w:bottom w:val="nil"/>
              <w:right w:val="nil"/>
            </w:tcBorders>
            <w:shd w:val="clear" w:color="auto" w:fill="auto"/>
            <w:tcMar>
              <w:top w:w="80" w:type="dxa"/>
              <w:left w:w="80" w:type="dxa"/>
              <w:bottom w:w="80" w:type="dxa"/>
              <w:right w:w="80" w:type="dxa"/>
            </w:tcMar>
          </w:tcPr>
          <w:p w14:paraId="6C1F1B07" w14:textId="77777777" w:rsidR="00DA349F" w:rsidRPr="0099743C" w:rsidRDefault="00AB44E9" w:rsidP="0099743C">
            <w:pPr>
              <w:pBdr>
                <w:top w:val="nil"/>
                <w:left w:val="nil"/>
                <w:bottom w:val="nil"/>
                <w:right w:val="nil"/>
                <w:between w:val="nil"/>
              </w:pBdr>
              <w:spacing w:before="320" w:after="320"/>
              <w:rPr>
                <w:rFonts w:ascii="Century Gothic" w:eastAsia="Century Gothic" w:hAnsi="Century Gothic"/>
                <w:color w:val="000000"/>
                <w:sz w:val="20"/>
              </w:rPr>
            </w:pPr>
            <w:r w:rsidRPr="0099743C">
              <w:rPr>
                <w:rFonts w:ascii="Century Gothic" w:eastAsia="Century Gothic" w:hAnsi="Century Gothic"/>
                <w:b/>
                <w:color w:val="000000"/>
                <w:sz w:val="18"/>
              </w:rPr>
              <w:t>LOW</w:t>
            </w:r>
          </w:p>
        </w:tc>
        <w:tc>
          <w:tcPr>
            <w:tcW w:w="105" w:type="dxa"/>
            <w:tcBorders>
              <w:top w:val="nil"/>
              <w:left w:val="nil"/>
              <w:bottom w:val="nil"/>
              <w:right w:val="nil"/>
            </w:tcBorders>
            <w:shd w:val="clear" w:color="auto" w:fill="auto"/>
            <w:tcMar>
              <w:top w:w="80" w:type="dxa"/>
              <w:left w:w="80" w:type="dxa"/>
              <w:bottom w:w="80" w:type="dxa"/>
              <w:right w:w="80" w:type="dxa"/>
            </w:tcMar>
          </w:tcPr>
          <w:p w14:paraId="6C1F1B08" w14:textId="77777777" w:rsidR="00DA349F" w:rsidRDefault="00DA349F"/>
        </w:tc>
      </w:tr>
      <w:tr w:rsidR="0099743C" w14:paraId="6C1F1B15" w14:textId="77777777">
        <w:trPr>
          <w:trHeight w:val="293"/>
          <w:jc w:val="center"/>
        </w:trPr>
        <w:tc>
          <w:tcPr>
            <w:tcW w:w="907" w:type="dxa"/>
            <w:tcBorders>
              <w:top w:val="nil"/>
              <w:left w:val="nil"/>
              <w:bottom w:val="nil"/>
              <w:right w:val="nil"/>
            </w:tcBorders>
            <w:shd w:val="clear" w:color="auto" w:fill="auto"/>
            <w:tcMar>
              <w:top w:w="80" w:type="dxa"/>
              <w:left w:w="80" w:type="dxa"/>
              <w:bottom w:w="80" w:type="dxa"/>
              <w:right w:w="80" w:type="dxa"/>
            </w:tcMar>
          </w:tcPr>
          <w:p w14:paraId="6C1F1B0A" w14:textId="77777777" w:rsidR="00DA349F" w:rsidRPr="0099743C" w:rsidRDefault="00DA349F" w:rsidP="0099743C"/>
        </w:tc>
        <w:tc>
          <w:tcPr>
            <w:tcW w:w="648" w:type="dxa"/>
            <w:tcBorders>
              <w:top w:val="single" w:sz="4" w:space="0" w:color="000000"/>
              <w:left w:val="nil"/>
              <w:bottom w:val="nil"/>
              <w:right w:val="single" w:sz="4" w:space="0" w:color="000000"/>
            </w:tcBorders>
            <w:shd w:val="clear" w:color="auto" w:fill="auto"/>
            <w:tcMar>
              <w:top w:w="80" w:type="dxa"/>
              <w:left w:w="80" w:type="dxa"/>
              <w:bottom w:w="80" w:type="dxa"/>
              <w:right w:w="80" w:type="dxa"/>
            </w:tcMar>
            <w:vAlign w:val="center"/>
          </w:tcPr>
          <w:p w14:paraId="6C1F1B0B" w14:textId="77777777" w:rsidR="00DA349F" w:rsidRPr="0099743C" w:rsidRDefault="00DA349F" w:rsidP="0099743C"/>
        </w:tc>
        <w:tc>
          <w:tcPr>
            <w:tcW w:w="9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C1F1B0C" w14:textId="77777777" w:rsidR="00DA349F" w:rsidRPr="0099743C" w:rsidRDefault="00AB44E9" w:rsidP="0099743C">
            <w:pPr>
              <w:pBdr>
                <w:top w:val="nil"/>
                <w:left w:val="nil"/>
                <w:bottom w:val="nil"/>
                <w:right w:val="nil"/>
                <w:between w:val="nil"/>
              </w:pBdr>
              <w:spacing w:before="120" w:after="120"/>
              <w:jc w:val="center"/>
              <w:rPr>
                <w:rFonts w:ascii="Century Gothic" w:eastAsia="Century Gothic" w:hAnsi="Century Gothic"/>
                <w:color w:val="000000"/>
                <w:sz w:val="20"/>
              </w:rPr>
            </w:pPr>
            <w:r w:rsidRPr="0099743C">
              <w:rPr>
                <w:rFonts w:ascii="Century Gothic" w:eastAsia="Century Gothic" w:hAnsi="Century Gothic"/>
                <w:b/>
                <w:color w:val="000000"/>
                <w:sz w:val="20"/>
              </w:rPr>
              <w:t>1</w:t>
            </w:r>
          </w:p>
        </w:tc>
        <w:tc>
          <w:tcPr>
            <w:tcW w:w="9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C1F1B0D" w14:textId="77777777" w:rsidR="00DA349F" w:rsidRPr="0099743C" w:rsidRDefault="00AB44E9" w:rsidP="0099743C">
            <w:pPr>
              <w:pBdr>
                <w:top w:val="nil"/>
                <w:left w:val="nil"/>
                <w:bottom w:val="nil"/>
                <w:right w:val="nil"/>
                <w:between w:val="nil"/>
              </w:pBdr>
              <w:spacing w:before="120" w:after="120"/>
              <w:jc w:val="center"/>
              <w:rPr>
                <w:rFonts w:ascii="Century Gothic" w:eastAsia="Century Gothic" w:hAnsi="Century Gothic"/>
                <w:color w:val="000000"/>
                <w:sz w:val="20"/>
              </w:rPr>
            </w:pPr>
            <w:r w:rsidRPr="0099743C">
              <w:rPr>
                <w:rFonts w:ascii="Century Gothic" w:eastAsia="Century Gothic" w:hAnsi="Century Gothic"/>
                <w:b/>
                <w:color w:val="000000"/>
                <w:sz w:val="20"/>
              </w:rPr>
              <w:t>2</w:t>
            </w:r>
          </w:p>
        </w:tc>
        <w:tc>
          <w:tcPr>
            <w:tcW w:w="9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C1F1B0E" w14:textId="77777777" w:rsidR="00DA349F" w:rsidRPr="0099743C" w:rsidRDefault="00AB44E9" w:rsidP="0099743C">
            <w:pPr>
              <w:pBdr>
                <w:top w:val="nil"/>
                <w:left w:val="nil"/>
                <w:bottom w:val="nil"/>
                <w:right w:val="nil"/>
                <w:between w:val="nil"/>
              </w:pBdr>
              <w:spacing w:before="120" w:after="120"/>
              <w:jc w:val="center"/>
              <w:rPr>
                <w:rFonts w:ascii="Century Gothic" w:eastAsia="Century Gothic" w:hAnsi="Century Gothic"/>
                <w:color w:val="000000"/>
                <w:sz w:val="20"/>
              </w:rPr>
            </w:pPr>
            <w:r w:rsidRPr="0099743C">
              <w:rPr>
                <w:rFonts w:ascii="Century Gothic" w:eastAsia="Century Gothic" w:hAnsi="Century Gothic"/>
                <w:b/>
                <w:color w:val="000000"/>
                <w:sz w:val="20"/>
              </w:rPr>
              <w:t>3</w:t>
            </w:r>
          </w:p>
        </w:tc>
        <w:tc>
          <w:tcPr>
            <w:tcW w:w="9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C1F1B0F" w14:textId="77777777" w:rsidR="00DA349F" w:rsidRPr="0099743C" w:rsidRDefault="00AB44E9" w:rsidP="0099743C">
            <w:pPr>
              <w:pBdr>
                <w:top w:val="nil"/>
                <w:left w:val="nil"/>
                <w:bottom w:val="nil"/>
                <w:right w:val="nil"/>
                <w:between w:val="nil"/>
              </w:pBdr>
              <w:spacing w:before="120" w:after="120"/>
              <w:jc w:val="center"/>
              <w:rPr>
                <w:rFonts w:ascii="Century Gothic" w:eastAsia="Century Gothic" w:hAnsi="Century Gothic"/>
                <w:color w:val="000000"/>
                <w:sz w:val="20"/>
              </w:rPr>
            </w:pPr>
            <w:r w:rsidRPr="0099743C">
              <w:rPr>
                <w:rFonts w:ascii="Century Gothic" w:eastAsia="Century Gothic" w:hAnsi="Century Gothic"/>
                <w:b/>
                <w:color w:val="000000"/>
                <w:sz w:val="20"/>
              </w:rPr>
              <w:t>4</w:t>
            </w:r>
          </w:p>
        </w:tc>
        <w:tc>
          <w:tcPr>
            <w:tcW w:w="9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C1F1B10" w14:textId="77777777" w:rsidR="00DA349F" w:rsidRPr="0099743C" w:rsidRDefault="00AB44E9" w:rsidP="0099743C">
            <w:pPr>
              <w:pBdr>
                <w:top w:val="nil"/>
                <w:left w:val="nil"/>
                <w:bottom w:val="nil"/>
                <w:right w:val="nil"/>
                <w:between w:val="nil"/>
              </w:pBdr>
              <w:spacing w:before="120" w:after="120"/>
              <w:jc w:val="center"/>
              <w:rPr>
                <w:rFonts w:ascii="Century Gothic" w:eastAsia="Century Gothic" w:hAnsi="Century Gothic"/>
                <w:color w:val="000000"/>
                <w:sz w:val="20"/>
              </w:rPr>
            </w:pPr>
            <w:r w:rsidRPr="0099743C">
              <w:rPr>
                <w:rFonts w:ascii="Century Gothic" w:eastAsia="Century Gothic" w:hAnsi="Century Gothic"/>
                <w:b/>
                <w:color w:val="000000"/>
                <w:sz w:val="20"/>
              </w:rPr>
              <w:t>5</w:t>
            </w:r>
          </w:p>
        </w:tc>
        <w:tc>
          <w:tcPr>
            <w:tcW w:w="1365" w:type="dxa"/>
            <w:tcBorders>
              <w:top w:val="nil"/>
              <w:left w:val="single" w:sz="4" w:space="0" w:color="000000"/>
              <w:bottom w:val="nil"/>
              <w:right w:val="nil"/>
            </w:tcBorders>
            <w:shd w:val="clear" w:color="auto" w:fill="auto"/>
            <w:tcMar>
              <w:top w:w="80" w:type="dxa"/>
              <w:left w:w="80" w:type="dxa"/>
              <w:bottom w:w="80" w:type="dxa"/>
              <w:right w:w="80" w:type="dxa"/>
            </w:tcMar>
          </w:tcPr>
          <w:p w14:paraId="6C1F1B11" w14:textId="77777777" w:rsidR="00DA349F" w:rsidRPr="0099743C" w:rsidRDefault="00DA349F" w:rsidP="0099743C"/>
        </w:tc>
        <w:tc>
          <w:tcPr>
            <w:tcW w:w="671" w:type="dxa"/>
            <w:tcBorders>
              <w:top w:val="single" w:sz="4" w:space="0" w:color="000000"/>
              <w:left w:val="nil"/>
              <w:bottom w:val="nil"/>
              <w:right w:val="nil"/>
            </w:tcBorders>
            <w:shd w:val="clear" w:color="auto" w:fill="auto"/>
            <w:tcMar>
              <w:top w:w="80" w:type="dxa"/>
              <w:left w:w="80" w:type="dxa"/>
              <w:bottom w:w="80" w:type="dxa"/>
              <w:right w:w="80" w:type="dxa"/>
            </w:tcMar>
          </w:tcPr>
          <w:p w14:paraId="6C1F1B12" w14:textId="77777777" w:rsidR="00DA349F" w:rsidRPr="0099743C" w:rsidRDefault="00DA349F" w:rsidP="0099743C"/>
        </w:tc>
        <w:tc>
          <w:tcPr>
            <w:tcW w:w="1320" w:type="dxa"/>
            <w:tcBorders>
              <w:top w:val="nil"/>
              <w:left w:val="nil"/>
              <w:bottom w:val="nil"/>
              <w:right w:val="nil"/>
            </w:tcBorders>
            <w:shd w:val="clear" w:color="auto" w:fill="auto"/>
            <w:tcMar>
              <w:top w:w="80" w:type="dxa"/>
              <w:left w:w="80" w:type="dxa"/>
              <w:bottom w:w="80" w:type="dxa"/>
              <w:right w:w="80" w:type="dxa"/>
            </w:tcMar>
          </w:tcPr>
          <w:p w14:paraId="6C1F1B13" w14:textId="77777777" w:rsidR="00DA349F" w:rsidRPr="0099743C" w:rsidRDefault="00DA349F" w:rsidP="0099743C"/>
        </w:tc>
        <w:tc>
          <w:tcPr>
            <w:tcW w:w="105" w:type="dxa"/>
            <w:tcBorders>
              <w:top w:val="nil"/>
              <w:left w:val="nil"/>
              <w:bottom w:val="nil"/>
              <w:right w:val="nil"/>
            </w:tcBorders>
            <w:shd w:val="clear" w:color="auto" w:fill="auto"/>
            <w:tcMar>
              <w:top w:w="80" w:type="dxa"/>
              <w:left w:w="80" w:type="dxa"/>
              <w:bottom w:w="80" w:type="dxa"/>
              <w:right w:w="80" w:type="dxa"/>
            </w:tcMar>
          </w:tcPr>
          <w:p w14:paraId="6C1F1B14" w14:textId="77777777" w:rsidR="00DA349F" w:rsidRDefault="00DA349F"/>
        </w:tc>
      </w:tr>
      <w:tr w:rsidR="0099743C" w14:paraId="6C1F1B1C" w14:textId="77777777">
        <w:trPr>
          <w:trHeight w:val="360"/>
          <w:jc w:val="center"/>
        </w:trPr>
        <w:tc>
          <w:tcPr>
            <w:tcW w:w="907" w:type="dxa"/>
            <w:tcBorders>
              <w:top w:val="nil"/>
              <w:left w:val="nil"/>
              <w:bottom w:val="nil"/>
              <w:right w:val="nil"/>
            </w:tcBorders>
            <w:shd w:val="clear" w:color="auto" w:fill="auto"/>
            <w:tcMar>
              <w:top w:w="80" w:type="dxa"/>
              <w:left w:w="80" w:type="dxa"/>
              <w:bottom w:w="80" w:type="dxa"/>
              <w:right w:w="80" w:type="dxa"/>
            </w:tcMar>
          </w:tcPr>
          <w:p w14:paraId="6C1F1B16" w14:textId="77777777" w:rsidR="00DA349F" w:rsidRPr="0099743C" w:rsidRDefault="00DA349F" w:rsidP="0099743C"/>
        </w:tc>
        <w:tc>
          <w:tcPr>
            <w:tcW w:w="648" w:type="dxa"/>
            <w:tcBorders>
              <w:top w:val="nil"/>
              <w:left w:val="nil"/>
              <w:bottom w:val="nil"/>
              <w:right w:val="nil"/>
            </w:tcBorders>
            <w:shd w:val="clear" w:color="auto" w:fill="auto"/>
            <w:tcMar>
              <w:top w:w="80" w:type="dxa"/>
              <w:left w:w="80" w:type="dxa"/>
              <w:bottom w:w="80" w:type="dxa"/>
              <w:right w:w="80" w:type="dxa"/>
            </w:tcMar>
            <w:vAlign w:val="center"/>
          </w:tcPr>
          <w:p w14:paraId="6C1F1B17" w14:textId="77777777" w:rsidR="00DA349F" w:rsidRPr="0099743C" w:rsidRDefault="00DA349F" w:rsidP="0099743C"/>
        </w:tc>
        <w:tc>
          <w:tcPr>
            <w:tcW w:w="4895" w:type="dxa"/>
            <w:gridSpan w:val="5"/>
            <w:tcBorders>
              <w:top w:val="single" w:sz="4" w:space="0" w:color="000000"/>
              <w:left w:val="nil"/>
              <w:bottom w:val="nil"/>
              <w:right w:val="nil"/>
            </w:tcBorders>
            <w:shd w:val="clear" w:color="auto" w:fill="auto"/>
            <w:tcMar>
              <w:top w:w="80" w:type="dxa"/>
              <w:left w:w="80" w:type="dxa"/>
              <w:bottom w:w="80" w:type="dxa"/>
              <w:right w:w="80" w:type="dxa"/>
            </w:tcMar>
            <w:vAlign w:val="center"/>
          </w:tcPr>
          <w:p w14:paraId="6C1F1B18" w14:textId="77777777" w:rsidR="00DA349F" w:rsidRPr="0099743C" w:rsidRDefault="00AB44E9" w:rsidP="0099743C">
            <w:pPr>
              <w:pBdr>
                <w:top w:val="nil"/>
                <w:left w:val="nil"/>
                <w:bottom w:val="nil"/>
                <w:right w:val="nil"/>
                <w:between w:val="nil"/>
              </w:pBdr>
              <w:spacing w:before="120"/>
              <w:jc w:val="center"/>
              <w:rPr>
                <w:rFonts w:ascii="Century Gothic" w:eastAsia="Century Gothic" w:hAnsi="Century Gothic"/>
                <w:color w:val="000000"/>
                <w:sz w:val="20"/>
              </w:rPr>
            </w:pPr>
            <w:r w:rsidRPr="0099743C">
              <w:rPr>
                <w:rFonts w:ascii="Century Gothic" w:eastAsia="Century Gothic" w:hAnsi="Century Gothic"/>
                <w:b/>
                <w:color w:val="000000"/>
                <w:sz w:val="28"/>
              </w:rPr>
              <w:t>Likelihood</w:t>
            </w:r>
          </w:p>
        </w:tc>
        <w:tc>
          <w:tcPr>
            <w:tcW w:w="1365" w:type="dxa"/>
            <w:tcBorders>
              <w:top w:val="nil"/>
              <w:left w:val="nil"/>
              <w:bottom w:val="nil"/>
              <w:right w:val="nil"/>
            </w:tcBorders>
            <w:shd w:val="clear" w:color="auto" w:fill="auto"/>
            <w:tcMar>
              <w:top w:w="80" w:type="dxa"/>
              <w:left w:w="80" w:type="dxa"/>
              <w:bottom w:w="80" w:type="dxa"/>
              <w:right w:w="80" w:type="dxa"/>
            </w:tcMar>
          </w:tcPr>
          <w:p w14:paraId="6C1F1B19" w14:textId="77777777" w:rsidR="00DA349F" w:rsidRPr="0099743C" w:rsidRDefault="00DA349F" w:rsidP="0099743C"/>
        </w:tc>
        <w:tc>
          <w:tcPr>
            <w:tcW w:w="671" w:type="dxa"/>
            <w:tcBorders>
              <w:top w:val="nil"/>
              <w:left w:val="nil"/>
              <w:bottom w:val="nil"/>
              <w:right w:val="nil"/>
            </w:tcBorders>
            <w:shd w:val="clear" w:color="auto" w:fill="auto"/>
            <w:tcMar>
              <w:top w:w="80" w:type="dxa"/>
              <w:left w:w="80" w:type="dxa"/>
              <w:bottom w:w="80" w:type="dxa"/>
              <w:right w:w="80" w:type="dxa"/>
            </w:tcMar>
          </w:tcPr>
          <w:p w14:paraId="6C1F1B1A" w14:textId="77777777" w:rsidR="00DA349F" w:rsidRPr="0099743C" w:rsidRDefault="00DA349F" w:rsidP="0099743C"/>
        </w:tc>
        <w:tc>
          <w:tcPr>
            <w:tcW w:w="1425" w:type="dxa"/>
            <w:gridSpan w:val="2"/>
            <w:tcBorders>
              <w:top w:val="nil"/>
              <w:left w:val="nil"/>
              <w:bottom w:val="nil"/>
              <w:right w:val="nil"/>
            </w:tcBorders>
            <w:shd w:val="clear" w:color="auto" w:fill="auto"/>
            <w:tcMar>
              <w:top w:w="80" w:type="dxa"/>
              <w:left w:w="80" w:type="dxa"/>
              <w:bottom w:w="80" w:type="dxa"/>
              <w:right w:w="80" w:type="dxa"/>
            </w:tcMar>
          </w:tcPr>
          <w:p w14:paraId="6C1F1B1B" w14:textId="77777777" w:rsidR="00DA349F" w:rsidRPr="0099743C" w:rsidRDefault="00DA349F" w:rsidP="0099743C"/>
        </w:tc>
      </w:tr>
    </w:tbl>
    <w:p w14:paraId="6C1F1B1D" w14:textId="77777777" w:rsidR="00DA349F" w:rsidRPr="0099743C" w:rsidRDefault="00DA349F" w:rsidP="0099743C">
      <w:pPr>
        <w:widowControl w:val="0"/>
        <w:pBdr>
          <w:top w:val="nil"/>
          <w:left w:val="nil"/>
          <w:bottom w:val="nil"/>
          <w:right w:val="nil"/>
          <w:between w:val="nil"/>
        </w:pBdr>
        <w:jc w:val="center"/>
        <w:rPr>
          <w:rFonts w:ascii="Century Gothic" w:eastAsia="Century Gothic" w:hAnsi="Century Gothic"/>
          <w:color w:val="000000"/>
          <w:sz w:val="20"/>
        </w:rPr>
      </w:pPr>
    </w:p>
    <w:sectPr w:rsidR="00DA349F" w:rsidRPr="0099743C" w:rsidSect="0006056B">
      <w:headerReference w:type="default" r:id="rId14"/>
      <w:footerReference w:type="default" r:id="rId15"/>
      <w:pgSz w:w="16840" w:h="11900" w:orient="landscape"/>
      <w:pgMar w:top="864" w:right="1152" w:bottom="864" w:left="1152" w:header="720"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67F204" w14:textId="77777777" w:rsidR="00923246" w:rsidRDefault="00923246">
      <w:r>
        <w:separator/>
      </w:r>
    </w:p>
  </w:endnote>
  <w:endnote w:type="continuationSeparator" w:id="0">
    <w:p w14:paraId="47845EB3" w14:textId="77777777" w:rsidR="00923246" w:rsidRDefault="00923246">
      <w:r>
        <w:continuationSeparator/>
      </w:r>
    </w:p>
  </w:endnote>
  <w:endnote w:type="continuationNotice" w:id="1">
    <w:p w14:paraId="5EAFBD9A" w14:textId="77777777" w:rsidR="00923246" w:rsidRDefault="00923246" w:rsidP="009974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mo">
    <w:altName w:val="Calibri"/>
    <w:charset w:val="00"/>
    <w:family w:val="auto"/>
    <w:pitch w:val="default"/>
  </w:font>
  <w:font w:name="Noto Sans Symbols">
    <w:altName w:val="Calibri"/>
    <w:charset w:val="00"/>
    <w:family w:val="auto"/>
    <w:pitch w:val="default"/>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entury Gothic">
    <w:panose1 w:val="020B0502020202020204"/>
    <w:charset w:val="00"/>
    <w:family w:val="swiss"/>
    <w:pitch w:val="variable"/>
    <w:sig w:usb0="00000287" w:usb1="00000000" w:usb2="00000000" w:usb3="00000000" w:csb0="0000009F" w:csb1="00000000"/>
  </w:font>
  <w:font w:name="Courier">
    <w:panose1 w:val="02070409020205020404"/>
    <w:charset w:val="00"/>
    <w:family w:val="modern"/>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1F1B3C" w14:textId="34A3CD95" w:rsidR="00DA349F" w:rsidRPr="0099743C" w:rsidRDefault="00AB44E9" w:rsidP="0099743C">
    <w:pPr>
      <w:pBdr>
        <w:top w:val="nil"/>
        <w:left w:val="nil"/>
        <w:bottom w:val="nil"/>
        <w:right w:val="nil"/>
        <w:between w:val="nil"/>
      </w:pBdr>
      <w:tabs>
        <w:tab w:val="center" w:pos="4153"/>
        <w:tab w:val="right" w:pos="8306"/>
      </w:tabs>
      <w:spacing w:before="120" w:after="120"/>
      <w:jc w:val="center"/>
      <w:rPr>
        <w:rFonts w:ascii="Century Gothic" w:eastAsia="Century Gothic" w:hAnsi="Century Gothic"/>
        <w:color w:val="000000"/>
        <w:sz w:val="20"/>
      </w:rPr>
    </w:pPr>
    <w:r w:rsidRPr="0099743C">
      <w:rPr>
        <w:rFonts w:ascii="Century Gothic" w:eastAsia="Century Gothic" w:hAnsi="Century Gothic"/>
        <w:color w:val="000000"/>
        <w:sz w:val="20"/>
      </w:rPr>
      <w:fldChar w:fldCharType="begin"/>
    </w:r>
    <w:r>
      <w:rPr>
        <w:rFonts w:ascii="Century Gothic" w:eastAsia="Century Gothic" w:hAnsi="Century Gothic" w:cs="Century Gothic"/>
        <w:color w:val="000000"/>
        <w:sz w:val="20"/>
        <w:szCs w:val="20"/>
      </w:rPr>
      <w:instrText>PAGE</w:instrText>
    </w:r>
    <w:r w:rsidRPr="0099743C">
      <w:rPr>
        <w:rFonts w:ascii="Century Gothic" w:eastAsia="Century Gothic" w:hAnsi="Century Gothic"/>
        <w:color w:val="000000"/>
        <w:sz w:val="20"/>
      </w:rPr>
      <w:fldChar w:fldCharType="separate"/>
    </w:r>
    <w:r w:rsidR="00917100">
      <w:rPr>
        <w:rFonts w:ascii="Century Gothic" w:eastAsia="Century Gothic" w:hAnsi="Century Gothic" w:cs="Century Gothic"/>
        <w:noProof/>
        <w:color w:val="000000"/>
        <w:sz w:val="20"/>
        <w:szCs w:val="20"/>
      </w:rPr>
      <w:t>6</w:t>
    </w:r>
    <w:r w:rsidRPr="0099743C">
      <w:rPr>
        <w:rFonts w:ascii="Century Gothic" w:eastAsia="Century Gothic" w:hAnsi="Century Gothic"/>
        <w:color w:val="000000"/>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A0145D" w14:textId="77777777" w:rsidR="00923246" w:rsidRDefault="00923246">
      <w:r>
        <w:separator/>
      </w:r>
    </w:p>
  </w:footnote>
  <w:footnote w:type="continuationSeparator" w:id="0">
    <w:p w14:paraId="324617FF" w14:textId="77777777" w:rsidR="00923246" w:rsidRDefault="00923246">
      <w:r>
        <w:continuationSeparator/>
      </w:r>
    </w:p>
  </w:footnote>
  <w:footnote w:type="continuationNotice" w:id="1">
    <w:p w14:paraId="6E5783CC" w14:textId="77777777" w:rsidR="00923246" w:rsidRDefault="00923246" w:rsidP="0099743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1F1B3B" w14:textId="77777777" w:rsidR="00DA349F" w:rsidRPr="0099743C" w:rsidRDefault="00AB44E9" w:rsidP="0099743C">
    <w:pPr>
      <w:pBdr>
        <w:top w:val="nil"/>
        <w:left w:val="nil"/>
        <w:bottom w:val="nil"/>
        <w:right w:val="nil"/>
        <w:between w:val="nil"/>
      </w:pBdr>
      <w:tabs>
        <w:tab w:val="center" w:pos="4153"/>
        <w:tab w:val="right" w:pos="8306"/>
        <w:tab w:val="right" w:pos="9540"/>
      </w:tabs>
      <w:spacing w:before="120" w:after="120"/>
      <w:jc w:val="both"/>
      <w:rPr>
        <w:rFonts w:ascii="Century Gothic" w:eastAsia="Century Gothic" w:hAnsi="Century Gothic"/>
        <w:color w:val="000000"/>
        <w:sz w:val="20"/>
      </w:rPr>
    </w:pPr>
    <w:r w:rsidRPr="0099743C">
      <w:rPr>
        <w:rFonts w:ascii="Arial Narrow" w:eastAsia="Arial Narrow" w:hAnsi="Arial Narrow"/>
        <w:b/>
        <w:color w:val="000000"/>
        <w:sz w:val="18"/>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73E9E"/>
    <w:multiLevelType w:val="multilevel"/>
    <w:tmpl w:val="D8CE1318"/>
    <w:lvl w:ilvl="0">
      <w:start w:val="1"/>
      <w:numFmt w:val="bullet"/>
      <w:lvlText w:val="➢"/>
      <w:lvlJc w:val="left"/>
      <w:pPr>
        <w:ind w:left="720" w:hanging="360"/>
      </w:pPr>
      <w:rPr>
        <w:rFonts w:ascii="Arimo" w:eastAsia="Arimo" w:hAnsi="Arimo" w:cs="Arimo"/>
        <w:b w:val="0"/>
        <w:i w:val="0"/>
        <w:smallCaps w:val="0"/>
        <w:strike w:val="0"/>
        <w:shd w:val="clear" w:color="auto" w:fill="auto"/>
        <w:vertAlign w:val="baseline"/>
      </w:rPr>
    </w:lvl>
    <w:lvl w:ilvl="1">
      <w:start w:val="1"/>
      <w:numFmt w:val="bullet"/>
      <w:lvlText w:val="•"/>
      <w:lvlJc w:val="left"/>
      <w:pPr>
        <w:ind w:left="1800" w:hanging="720"/>
      </w:pPr>
      <w:rPr>
        <w:rFonts w:ascii="Arimo" w:eastAsia="Arimo" w:hAnsi="Arimo" w:cs="Arimo"/>
        <w:b w:val="0"/>
        <w:i w:val="0"/>
        <w:smallCaps w:val="0"/>
        <w:strike w:val="0"/>
        <w:shd w:val="clear" w:color="auto" w:fill="auto"/>
        <w:vertAlign w:val="baseline"/>
      </w:rPr>
    </w:lvl>
    <w:lvl w:ilvl="2">
      <w:start w:val="1"/>
      <w:numFmt w:val="bullet"/>
      <w:lvlText w:val="▪"/>
      <w:lvlJc w:val="left"/>
      <w:pPr>
        <w:ind w:left="2160" w:hanging="360"/>
      </w:pPr>
      <w:rPr>
        <w:rFonts w:ascii="Arimo" w:eastAsia="Arimo" w:hAnsi="Arimo" w:cs="Arimo"/>
        <w:b w:val="0"/>
        <w:i w:val="0"/>
        <w:smallCaps w:val="0"/>
        <w:strike w:val="0"/>
        <w:shd w:val="clear" w:color="auto" w:fill="auto"/>
        <w:vertAlign w:val="baseline"/>
      </w:rPr>
    </w:lvl>
    <w:lvl w:ilvl="3">
      <w:start w:val="1"/>
      <w:numFmt w:val="bullet"/>
      <w:lvlText w:val="•"/>
      <w:lvlJc w:val="left"/>
      <w:pPr>
        <w:ind w:left="2880" w:hanging="360"/>
      </w:pPr>
      <w:rPr>
        <w:rFonts w:ascii="Arimo" w:eastAsia="Arimo" w:hAnsi="Arimo" w:cs="Arimo"/>
        <w:b w:val="0"/>
        <w:i w:val="0"/>
        <w:smallCaps w:val="0"/>
        <w:strike w:val="0"/>
        <w:shd w:val="clear" w:color="auto" w:fill="auto"/>
        <w:vertAlign w:val="baseline"/>
      </w:rPr>
    </w:lvl>
    <w:lvl w:ilvl="4">
      <w:start w:val="1"/>
      <w:numFmt w:val="bullet"/>
      <w:lvlText w:val="□"/>
      <w:lvlJc w:val="left"/>
      <w:pPr>
        <w:ind w:left="3600" w:hanging="360"/>
      </w:pPr>
      <w:rPr>
        <w:rFonts w:ascii="Noto Sans Symbols" w:eastAsia="Noto Sans Symbols" w:hAnsi="Noto Sans Symbols" w:cs="Noto Sans Symbols"/>
        <w:b w:val="0"/>
        <w:i w:val="0"/>
        <w:smallCaps w:val="0"/>
        <w:strike w:val="0"/>
        <w:shd w:val="clear" w:color="auto" w:fill="auto"/>
        <w:vertAlign w:val="baseline"/>
      </w:rPr>
    </w:lvl>
    <w:lvl w:ilvl="5">
      <w:start w:val="1"/>
      <w:numFmt w:val="bullet"/>
      <w:lvlText w:val="▪"/>
      <w:lvlJc w:val="left"/>
      <w:pPr>
        <w:ind w:left="4320" w:hanging="360"/>
      </w:pPr>
      <w:rPr>
        <w:rFonts w:ascii="Arimo" w:eastAsia="Arimo" w:hAnsi="Arimo" w:cs="Arimo"/>
        <w:b w:val="0"/>
        <w:i w:val="0"/>
        <w:smallCaps w:val="0"/>
        <w:strike w:val="0"/>
        <w:shd w:val="clear" w:color="auto" w:fill="auto"/>
        <w:vertAlign w:val="baseline"/>
      </w:rPr>
    </w:lvl>
    <w:lvl w:ilvl="6">
      <w:start w:val="1"/>
      <w:numFmt w:val="bullet"/>
      <w:lvlText w:val="•"/>
      <w:lvlJc w:val="left"/>
      <w:pPr>
        <w:ind w:left="5040" w:hanging="360"/>
      </w:pPr>
      <w:rPr>
        <w:rFonts w:ascii="Arimo" w:eastAsia="Arimo" w:hAnsi="Arimo" w:cs="Arimo"/>
        <w:b w:val="0"/>
        <w:i w:val="0"/>
        <w:smallCaps w:val="0"/>
        <w:strike w:val="0"/>
        <w:shd w:val="clear" w:color="auto" w:fill="auto"/>
        <w:vertAlign w:val="baseline"/>
      </w:rPr>
    </w:lvl>
    <w:lvl w:ilvl="7">
      <w:start w:val="1"/>
      <w:numFmt w:val="bullet"/>
      <w:lvlText w:val="□"/>
      <w:lvlJc w:val="left"/>
      <w:pPr>
        <w:ind w:left="5760" w:hanging="360"/>
      </w:pPr>
      <w:rPr>
        <w:rFonts w:ascii="Noto Sans Symbols" w:eastAsia="Noto Sans Symbols" w:hAnsi="Noto Sans Symbols" w:cs="Noto Sans Symbols"/>
        <w:b w:val="0"/>
        <w:i w:val="0"/>
        <w:smallCaps w:val="0"/>
        <w:strike w:val="0"/>
        <w:shd w:val="clear" w:color="auto" w:fill="auto"/>
        <w:vertAlign w:val="baseline"/>
      </w:rPr>
    </w:lvl>
    <w:lvl w:ilvl="8">
      <w:start w:val="1"/>
      <w:numFmt w:val="bullet"/>
      <w:lvlText w:val="▪"/>
      <w:lvlJc w:val="left"/>
      <w:pPr>
        <w:ind w:left="6480" w:hanging="360"/>
      </w:pPr>
      <w:rPr>
        <w:rFonts w:ascii="Arimo" w:eastAsia="Arimo" w:hAnsi="Arimo" w:cs="Arimo"/>
        <w:b w:val="0"/>
        <w:i w:val="0"/>
        <w:smallCaps w:val="0"/>
        <w:strike w:val="0"/>
        <w:shd w:val="clear" w:color="auto" w:fill="auto"/>
        <w:vertAlign w:val="baseline"/>
      </w:rPr>
    </w:lvl>
  </w:abstractNum>
  <w:abstractNum w:abstractNumId="1" w15:restartNumberingAfterBreak="0">
    <w:nsid w:val="083C2991"/>
    <w:multiLevelType w:val="hybridMultilevel"/>
    <w:tmpl w:val="B9FA2896"/>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3E0EFD"/>
    <w:multiLevelType w:val="multilevel"/>
    <w:tmpl w:val="82C42164"/>
    <w:lvl w:ilvl="0">
      <w:start w:val="1"/>
      <w:numFmt w:val="bullet"/>
      <w:lvlText w:val="➢"/>
      <w:lvlJc w:val="left"/>
      <w:pPr>
        <w:ind w:left="720" w:hanging="360"/>
      </w:pPr>
      <w:rPr>
        <w:rFonts w:ascii="Arimo" w:eastAsia="Arimo" w:hAnsi="Arimo" w:cs="Arimo"/>
        <w:b w:val="0"/>
        <w:i w:val="0"/>
        <w:smallCaps w:val="0"/>
        <w:strike w:val="0"/>
        <w:sz w:val="24"/>
        <w:szCs w:val="24"/>
        <w:shd w:val="clear" w:color="auto" w:fill="auto"/>
        <w:vertAlign w:val="baseline"/>
      </w:rPr>
    </w:lvl>
    <w:lvl w:ilvl="1">
      <w:start w:val="1"/>
      <w:numFmt w:val="bullet"/>
      <w:lvlText w:val="□"/>
      <w:lvlJc w:val="left"/>
      <w:pPr>
        <w:ind w:left="1440" w:hanging="360"/>
      </w:pPr>
      <w:rPr>
        <w:rFonts w:ascii="Noto Sans Symbols" w:eastAsia="Noto Sans Symbols" w:hAnsi="Noto Sans Symbols" w:cs="Noto Sans Symbols"/>
        <w:b w:val="0"/>
        <w:i w:val="0"/>
        <w:smallCaps w:val="0"/>
        <w:strike w:val="0"/>
        <w:sz w:val="24"/>
        <w:szCs w:val="24"/>
        <w:shd w:val="clear" w:color="auto" w:fill="auto"/>
        <w:vertAlign w:val="baseline"/>
      </w:rPr>
    </w:lvl>
    <w:lvl w:ilvl="2">
      <w:start w:val="1"/>
      <w:numFmt w:val="bullet"/>
      <w:lvlText w:val="▪"/>
      <w:lvlJc w:val="left"/>
      <w:pPr>
        <w:ind w:left="2160" w:hanging="360"/>
      </w:pPr>
      <w:rPr>
        <w:rFonts w:ascii="Arimo" w:eastAsia="Arimo" w:hAnsi="Arimo" w:cs="Arimo"/>
        <w:b w:val="0"/>
        <w:i w:val="0"/>
        <w:smallCaps w:val="0"/>
        <w:strike w:val="0"/>
        <w:sz w:val="24"/>
        <w:szCs w:val="24"/>
        <w:shd w:val="clear" w:color="auto" w:fill="auto"/>
        <w:vertAlign w:val="baseline"/>
      </w:rPr>
    </w:lvl>
    <w:lvl w:ilvl="3">
      <w:start w:val="1"/>
      <w:numFmt w:val="bullet"/>
      <w:lvlText w:val="•"/>
      <w:lvlJc w:val="left"/>
      <w:pPr>
        <w:ind w:left="2880" w:hanging="360"/>
      </w:pPr>
      <w:rPr>
        <w:rFonts w:ascii="Arimo" w:eastAsia="Arimo" w:hAnsi="Arimo" w:cs="Arimo"/>
        <w:b w:val="0"/>
        <w:i w:val="0"/>
        <w:smallCaps w:val="0"/>
        <w:strike w:val="0"/>
        <w:sz w:val="24"/>
        <w:szCs w:val="24"/>
        <w:shd w:val="clear" w:color="auto" w:fill="auto"/>
        <w:vertAlign w:val="baseline"/>
      </w:rPr>
    </w:lvl>
    <w:lvl w:ilvl="4">
      <w:start w:val="1"/>
      <w:numFmt w:val="bullet"/>
      <w:lvlText w:val="□"/>
      <w:lvlJc w:val="left"/>
      <w:pPr>
        <w:ind w:left="3600" w:hanging="360"/>
      </w:pPr>
      <w:rPr>
        <w:rFonts w:ascii="Noto Sans Symbols" w:eastAsia="Noto Sans Symbols" w:hAnsi="Noto Sans Symbols" w:cs="Noto Sans Symbols"/>
        <w:b w:val="0"/>
        <w:i w:val="0"/>
        <w:smallCaps w:val="0"/>
        <w:strike w:val="0"/>
        <w:sz w:val="24"/>
        <w:szCs w:val="24"/>
        <w:shd w:val="clear" w:color="auto" w:fill="auto"/>
        <w:vertAlign w:val="baseline"/>
      </w:rPr>
    </w:lvl>
    <w:lvl w:ilvl="5">
      <w:start w:val="1"/>
      <w:numFmt w:val="bullet"/>
      <w:lvlText w:val="▪"/>
      <w:lvlJc w:val="left"/>
      <w:pPr>
        <w:ind w:left="4320" w:hanging="360"/>
      </w:pPr>
      <w:rPr>
        <w:rFonts w:ascii="Arimo" w:eastAsia="Arimo" w:hAnsi="Arimo" w:cs="Arimo"/>
        <w:b w:val="0"/>
        <w:i w:val="0"/>
        <w:smallCaps w:val="0"/>
        <w:strike w:val="0"/>
        <w:sz w:val="24"/>
        <w:szCs w:val="24"/>
        <w:shd w:val="clear" w:color="auto" w:fill="auto"/>
        <w:vertAlign w:val="baseline"/>
      </w:rPr>
    </w:lvl>
    <w:lvl w:ilvl="6">
      <w:start w:val="1"/>
      <w:numFmt w:val="bullet"/>
      <w:lvlText w:val="•"/>
      <w:lvlJc w:val="left"/>
      <w:pPr>
        <w:ind w:left="5040" w:hanging="360"/>
      </w:pPr>
      <w:rPr>
        <w:rFonts w:ascii="Arimo" w:eastAsia="Arimo" w:hAnsi="Arimo" w:cs="Arimo"/>
        <w:b w:val="0"/>
        <w:i w:val="0"/>
        <w:smallCaps w:val="0"/>
        <w:strike w:val="0"/>
        <w:sz w:val="24"/>
        <w:szCs w:val="24"/>
        <w:shd w:val="clear" w:color="auto" w:fill="auto"/>
        <w:vertAlign w:val="baseline"/>
      </w:rPr>
    </w:lvl>
    <w:lvl w:ilvl="7">
      <w:start w:val="1"/>
      <w:numFmt w:val="bullet"/>
      <w:lvlText w:val="□"/>
      <w:lvlJc w:val="left"/>
      <w:pPr>
        <w:ind w:left="5760" w:hanging="360"/>
      </w:pPr>
      <w:rPr>
        <w:rFonts w:ascii="Noto Sans Symbols" w:eastAsia="Noto Sans Symbols" w:hAnsi="Noto Sans Symbols" w:cs="Noto Sans Symbols"/>
        <w:b w:val="0"/>
        <w:i w:val="0"/>
        <w:smallCaps w:val="0"/>
        <w:strike w:val="0"/>
        <w:sz w:val="24"/>
        <w:szCs w:val="24"/>
        <w:shd w:val="clear" w:color="auto" w:fill="auto"/>
        <w:vertAlign w:val="baseline"/>
      </w:rPr>
    </w:lvl>
    <w:lvl w:ilvl="8">
      <w:start w:val="1"/>
      <w:numFmt w:val="bullet"/>
      <w:lvlText w:val="▪"/>
      <w:lvlJc w:val="left"/>
      <w:pPr>
        <w:ind w:left="6480" w:hanging="360"/>
      </w:pPr>
      <w:rPr>
        <w:rFonts w:ascii="Arimo" w:eastAsia="Arimo" w:hAnsi="Arimo" w:cs="Arimo"/>
        <w:b w:val="0"/>
        <w:i w:val="0"/>
        <w:smallCaps w:val="0"/>
        <w:strike w:val="0"/>
        <w:sz w:val="24"/>
        <w:szCs w:val="24"/>
        <w:shd w:val="clear" w:color="auto" w:fill="auto"/>
        <w:vertAlign w:val="baseline"/>
      </w:rPr>
    </w:lvl>
  </w:abstractNum>
  <w:abstractNum w:abstractNumId="3" w15:restartNumberingAfterBreak="0">
    <w:nsid w:val="0E59233A"/>
    <w:multiLevelType w:val="hybridMultilevel"/>
    <w:tmpl w:val="4ED4746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46176E5"/>
    <w:multiLevelType w:val="hybridMultilevel"/>
    <w:tmpl w:val="DAC2D966"/>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70D7B4F"/>
    <w:multiLevelType w:val="hybridMultilevel"/>
    <w:tmpl w:val="910E63C8"/>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3801EB"/>
    <w:multiLevelType w:val="hybridMultilevel"/>
    <w:tmpl w:val="A42A8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C52184"/>
    <w:multiLevelType w:val="multilevel"/>
    <w:tmpl w:val="E77AC1EE"/>
    <w:lvl w:ilvl="0">
      <w:start w:val="1"/>
      <w:numFmt w:val="decimal"/>
      <w:lvlText w:val="%1."/>
      <w:lvlJc w:val="left"/>
      <w:pPr>
        <w:ind w:left="288" w:hanging="288"/>
      </w:pPr>
      <w:rPr>
        <w:smallCaps w:val="0"/>
        <w:strike w:val="0"/>
        <w:shd w:val="clear" w:color="auto" w:fill="auto"/>
        <w:vertAlign w:val="baseline"/>
      </w:rPr>
    </w:lvl>
    <w:lvl w:ilvl="1">
      <w:start w:val="1"/>
      <w:numFmt w:val="decimal"/>
      <w:lvlText w:val="%2."/>
      <w:lvlJc w:val="left"/>
      <w:pPr>
        <w:ind w:left="314" w:hanging="314"/>
      </w:pPr>
      <w:rPr>
        <w:smallCaps w:val="0"/>
        <w:strike w:val="0"/>
        <w:shd w:val="clear" w:color="auto" w:fill="auto"/>
        <w:vertAlign w:val="baseline"/>
      </w:rPr>
    </w:lvl>
    <w:lvl w:ilvl="2">
      <w:start w:val="1"/>
      <w:numFmt w:val="decimal"/>
      <w:lvlText w:val="%2.%3."/>
      <w:lvlJc w:val="left"/>
      <w:pPr>
        <w:ind w:left="403" w:hanging="389"/>
      </w:pPr>
      <w:rPr>
        <w:smallCaps w:val="0"/>
        <w:strike w:val="0"/>
        <w:shd w:val="clear" w:color="auto" w:fill="auto"/>
        <w:vertAlign w:val="baseline"/>
      </w:rPr>
    </w:lvl>
    <w:lvl w:ilvl="3">
      <w:start w:val="1"/>
      <w:numFmt w:val="decimal"/>
      <w:lvlText w:val="%2.%3.%4."/>
      <w:lvlJc w:val="left"/>
      <w:pPr>
        <w:ind w:left="907" w:hanging="216"/>
      </w:pPr>
      <w:rPr>
        <w:smallCaps w:val="0"/>
        <w:strike w:val="0"/>
        <w:shd w:val="clear" w:color="auto" w:fill="auto"/>
        <w:vertAlign w:val="baseline"/>
      </w:rPr>
    </w:lvl>
    <w:lvl w:ilvl="4">
      <w:start w:val="1"/>
      <w:numFmt w:val="decimal"/>
      <w:lvlText w:val="%2.%3.%4.%5."/>
      <w:lvlJc w:val="left"/>
      <w:pPr>
        <w:ind w:left="1411" w:hanging="360"/>
      </w:pPr>
      <w:rPr>
        <w:smallCaps w:val="0"/>
        <w:strike w:val="0"/>
        <w:shd w:val="clear" w:color="auto" w:fill="auto"/>
        <w:vertAlign w:val="baseline"/>
      </w:rPr>
    </w:lvl>
    <w:lvl w:ilvl="5">
      <w:start w:val="1"/>
      <w:numFmt w:val="decimal"/>
      <w:lvlText w:val="%2.%3.%4.%5.%6."/>
      <w:lvlJc w:val="left"/>
      <w:pPr>
        <w:ind w:left="1915" w:hanging="504"/>
      </w:pPr>
      <w:rPr>
        <w:smallCaps w:val="0"/>
        <w:strike w:val="0"/>
        <w:shd w:val="clear" w:color="auto" w:fill="auto"/>
        <w:vertAlign w:val="baseline"/>
      </w:rPr>
    </w:lvl>
    <w:lvl w:ilvl="6">
      <w:start w:val="1"/>
      <w:numFmt w:val="decimal"/>
      <w:lvlText w:val="%2.%3.%4.%5.%6.%7."/>
      <w:lvlJc w:val="left"/>
      <w:pPr>
        <w:ind w:left="2419" w:hanging="647"/>
      </w:pPr>
      <w:rPr>
        <w:smallCaps w:val="0"/>
        <w:strike w:val="0"/>
        <w:shd w:val="clear" w:color="auto" w:fill="auto"/>
        <w:vertAlign w:val="baseline"/>
      </w:rPr>
    </w:lvl>
    <w:lvl w:ilvl="7">
      <w:start w:val="1"/>
      <w:numFmt w:val="decimal"/>
      <w:lvlText w:val="%2.%3.%4.%5.%6.%7.%8."/>
      <w:lvlJc w:val="left"/>
      <w:pPr>
        <w:ind w:left="2923" w:hanging="792"/>
      </w:pPr>
      <w:rPr>
        <w:smallCaps w:val="0"/>
        <w:strike w:val="0"/>
        <w:shd w:val="clear" w:color="auto" w:fill="auto"/>
        <w:vertAlign w:val="baseline"/>
      </w:rPr>
    </w:lvl>
    <w:lvl w:ilvl="8">
      <w:start w:val="1"/>
      <w:numFmt w:val="decimal"/>
      <w:lvlText w:val="%2.%3.%4.%5.%6.%7.%8.%9."/>
      <w:lvlJc w:val="left"/>
      <w:pPr>
        <w:ind w:left="3499" w:hanging="1008"/>
      </w:pPr>
      <w:rPr>
        <w:smallCaps w:val="0"/>
        <w:strike w:val="0"/>
        <w:shd w:val="clear" w:color="auto" w:fill="auto"/>
        <w:vertAlign w:val="baseline"/>
      </w:rPr>
    </w:lvl>
  </w:abstractNum>
  <w:abstractNum w:abstractNumId="8" w15:restartNumberingAfterBreak="0">
    <w:nsid w:val="1BFC4987"/>
    <w:multiLevelType w:val="multilevel"/>
    <w:tmpl w:val="EAD20CAA"/>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0CF6347"/>
    <w:multiLevelType w:val="multilevel"/>
    <w:tmpl w:val="AA4CD554"/>
    <w:lvl w:ilvl="0">
      <w:start w:val="1"/>
      <w:numFmt w:val="decimal"/>
      <w:lvlText w:val="%1."/>
      <w:lvlJc w:val="left"/>
      <w:pPr>
        <w:ind w:left="360" w:hanging="360"/>
      </w:pPr>
      <w:rPr>
        <w:rFonts w:hint="default"/>
      </w:rPr>
    </w:lvl>
    <w:lvl w:ilvl="1">
      <w:start w:val="1"/>
      <w:numFmt w:val="decimal"/>
      <w:lvlText w:val="3.%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3CB67EA"/>
    <w:multiLevelType w:val="hybridMultilevel"/>
    <w:tmpl w:val="B2D2C752"/>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4B90CF8"/>
    <w:multiLevelType w:val="hybridMultilevel"/>
    <w:tmpl w:val="961AFF10"/>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7616389"/>
    <w:multiLevelType w:val="hybridMultilevel"/>
    <w:tmpl w:val="A8E83D28"/>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82417EF"/>
    <w:multiLevelType w:val="multilevel"/>
    <w:tmpl w:val="AA724568"/>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83838E5"/>
    <w:multiLevelType w:val="hybridMultilevel"/>
    <w:tmpl w:val="C3228D76"/>
    <w:lvl w:ilvl="0" w:tplc="94B45016">
      <w:start w:val="1"/>
      <w:numFmt w:val="bullet"/>
      <w:lvlText w:val=""/>
      <w:lvlJc w:val="left"/>
      <w:pPr>
        <w:ind w:left="360" w:hanging="360"/>
      </w:pPr>
      <w:rPr>
        <w:rFonts w:ascii="Symbol" w:hAnsi="Symbol" w:hint="default"/>
        <w:color w:val="000000" w:themeColor="text1"/>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8EA4BA9"/>
    <w:multiLevelType w:val="multilevel"/>
    <w:tmpl w:val="A06CE3D6"/>
    <w:lvl w:ilvl="0">
      <w:start w:val="1"/>
      <w:numFmt w:val="decimal"/>
      <w:lvlText w:val="%1."/>
      <w:lvlJc w:val="left"/>
      <w:pPr>
        <w:ind w:left="360" w:hanging="360"/>
      </w:pPr>
    </w:lvl>
    <w:lvl w:ilvl="1">
      <w:start w:val="1"/>
      <w:numFmt w:val="decimal"/>
      <w:lvlText w:val="%1.%2."/>
      <w:lvlJc w:val="left"/>
      <w:pPr>
        <w:ind w:left="792" w:hanging="432"/>
      </w:pPr>
      <w:rPr>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01B29D2"/>
    <w:multiLevelType w:val="multilevel"/>
    <w:tmpl w:val="D95C351A"/>
    <w:lvl w:ilvl="0">
      <w:start w:val="1"/>
      <w:numFmt w:val="decimal"/>
      <w:lvlText w:val="%1."/>
      <w:lvlJc w:val="left"/>
      <w:pPr>
        <w:ind w:left="360" w:hanging="360"/>
      </w:pPr>
      <w:rPr>
        <w:rFonts w:hint="default"/>
      </w:rPr>
    </w:lvl>
    <w:lvl w:ilvl="1">
      <w:start w:val="1"/>
      <w:numFmt w:val="decimal"/>
      <w:lvlText w:val="4.%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2D55E60"/>
    <w:multiLevelType w:val="multilevel"/>
    <w:tmpl w:val="8A6A8DBA"/>
    <w:lvl w:ilvl="0">
      <w:start w:val="1"/>
      <w:numFmt w:val="decimal"/>
      <w:lvlText w:val="%1."/>
      <w:lvlJc w:val="left"/>
      <w:pPr>
        <w:ind w:left="288" w:hanging="288"/>
      </w:pPr>
      <w:rPr>
        <w:smallCaps w:val="0"/>
        <w:strike w:val="0"/>
        <w:shd w:val="clear" w:color="auto" w:fill="auto"/>
        <w:vertAlign w:val="baseline"/>
      </w:rPr>
    </w:lvl>
    <w:lvl w:ilvl="1">
      <w:start w:val="1"/>
      <w:numFmt w:val="decimal"/>
      <w:lvlText w:val="%2."/>
      <w:lvlJc w:val="left"/>
      <w:pPr>
        <w:ind w:left="364" w:hanging="364"/>
      </w:pPr>
      <w:rPr>
        <w:smallCaps w:val="0"/>
        <w:strike w:val="0"/>
        <w:shd w:val="clear" w:color="auto" w:fill="auto"/>
        <w:vertAlign w:val="baseline"/>
      </w:rPr>
    </w:lvl>
    <w:lvl w:ilvl="2">
      <w:start w:val="1"/>
      <w:numFmt w:val="decimal"/>
      <w:lvlText w:val="%2.%3."/>
      <w:lvlJc w:val="left"/>
      <w:pPr>
        <w:ind w:left="403" w:hanging="389"/>
      </w:pPr>
      <w:rPr>
        <w:smallCaps w:val="0"/>
        <w:strike w:val="0"/>
        <w:shd w:val="clear" w:color="auto" w:fill="auto"/>
        <w:vertAlign w:val="baseline"/>
      </w:rPr>
    </w:lvl>
    <w:lvl w:ilvl="3">
      <w:start w:val="1"/>
      <w:numFmt w:val="decimal"/>
      <w:lvlText w:val="%2.%3.%4."/>
      <w:lvlJc w:val="left"/>
      <w:pPr>
        <w:ind w:left="907" w:hanging="216"/>
      </w:pPr>
      <w:rPr>
        <w:smallCaps w:val="0"/>
        <w:strike w:val="0"/>
        <w:shd w:val="clear" w:color="auto" w:fill="auto"/>
        <w:vertAlign w:val="baseline"/>
      </w:rPr>
    </w:lvl>
    <w:lvl w:ilvl="4">
      <w:start w:val="1"/>
      <w:numFmt w:val="decimal"/>
      <w:lvlText w:val="%2.%3.%4.%5."/>
      <w:lvlJc w:val="left"/>
      <w:pPr>
        <w:ind w:left="1411" w:hanging="360"/>
      </w:pPr>
      <w:rPr>
        <w:smallCaps w:val="0"/>
        <w:strike w:val="0"/>
        <w:shd w:val="clear" w:color="auto" w:fill="auto"/>
        <w:vertAlign w:val="baseline"/>
      </w:rPr>
    </w:lvl>
    <w:lvl w:ilvl="5">
      <w:start w:val="1"/>
      <w:numFmt w:val="decimal"/>
      <w:lvlText w:val="%2.%3.%4.%5.%6."/>
      <w:lvlJc w:val="left"/>
      <w:pPr>
        <w:ind w:left="1915" w:hanging="504"/>
      </w:pPr>
      <w:rPr>
        <w:smallCaps w:val="0"/>
        <w:strike w:val="0"/>
        <w:shd w:val="clear" w:color="auto" w:fill="auto"/>
        <w:vertAlign w:val="baseline"/>
      </w:rPr>
    </w:lvl>
    <w:lvl w:ilvl="6">
      <w:start w:val="1"/>
      <w:numFmt w:val="decimal"/>
      <w:lvlText w:val="%2.%3.%4.%5.%6.%7."/>
      <w:lvlJc w:val="left"/>
      <w:pPr>
        <w:ind w:left="2419" w:hanging="647"/>
      </w:pPr>
      <w:rPr>
        <w:smallCaps w:val="0"/>
        <w:strike w:val="0"/>
        <w:shd w:val="clear" w:color="auto" w:fill="auto"/>
        <w:vertAlign w:val="baseline"/>
      </w:rPr>
    </w:lvl>
    <w:lvl w:ilvl="7">
      <w:start w:val="1"/>
      <w:numFmt w:val="decimal"/>
      <w:lvlText w:val="%2.%3.%4.%5.%6.%7.%8."/>
      <w:lvlJc w:val="left"/>
      <w:pPr>
        <w:ind w:left="2923" w:hanging="792"/>
      </w:pPr>
      <w:rPr>
        <w:smallCaps w:val="0"/>
        <w:strike w:val="0"/>
        <w:shd w:val="clear" w:color="auto" w:fill="auto"/>
        <w:vertAlign w:val="baseline"/>
      </w:rPr>
    </w:lvl>
    <w:lvl w:ilvl="8">
      <w:start w:val="1"/>
      <w:numFmt w:val="decimal"/>
      <w:lvlText w:val="%2.%3.%4.%5.%6.%7.%8.%9."/>
      <w:lvlJc w:val="left"/>
      <w:pPr>
        <w:ind w:left="3499" w:hanging="1008"/>
      </w:pPr>
      <w:rPr>
        <w:smallCaps w:val="0"/>
        <w:strike w:val="0"/>
        <w:shd w:val="clear" w:color="auto" w:fill="auto"/>
        <w:vertAlign w:val="baseline"/>
      </w:rPr>
    </w:lvl>
  </w:abstractNum>
  <w:abstractNum w:abstractNumId="18" w15:restartNumberingAfterBreak="0">
    <w:nsid w:val="3CD03C16"/>
    <w:multiLevelType w:val="hybridMultilevel"/>
    <w:tmpl w:val="B2503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232E6A"/>
    <w:multiLevelType w:val="multilevel"/>
    <w:tmpl w:val="B4A46EAC"/>
    <w:lvl w:ilvl="0">
      <w:start w:val="1"/>
      <w:numFmt w:val="decimal"/>
      <w:lvlText w:val="%1."/>
      <w:lvlJc w:val="left"/>
      <w:pPr>
        <w:ind w:left="288" w:hanging="288"/>
      </w:pPr>
      <w:rPr>
        <w:smallCaps w:val="0"/>
        <w:strike w:val="0"/>
        <w:shd w:val="clear" w:color="auto" w:fill="auto"/>
        <w:vertAlign w:val="baseline"/>
      </w:rPr>
    </w:lvl>
    <w:lvl w:ilvl="1">
      <w:start w:val="1"/>
      <w:numFmt w:val="decimal"/>
      <w:lvlText w:val="%2."/>
      <w:lvlJc w:val="left"/>
      <w:pPr>
        <w:ind w:left="365" w:hanging="365"/>
      </w:pPr>
      <w:rPr>
        <w:smallCaps w:val="0"/>
        <w:strike w:val="0"/>
        <w:shd w:val="clear" w:color="auto" w:fill="auto"/>
        <w:vertAlign w:val="baseline"/>
      </w:rPr>
    </w:lvl>
    <w:lvl w:ilvl="2">
      <w:start w:val="1"/>
      <w:numFmt w:val="decimal"/>
      <w:lvlText w:val="%2.%3."/>
      <w:lvlJc w:val="left"/>
      <w:pPr>
        <w:ind w:left="418" w:hanging="374"/>
      </w:pPr>
      <w:rPr>
        <w:smallCaps w:val="0"/>
        <w:strike w:val="0"/>
        <w:shd w:val="clear" w:color="auto" w:fill="auto"/>
        <w:vertAlign w:val="baseline"/>
      </w:rPr>
    </w:lvl>
    <w:lvl w:ilvl="3">
      <w:start w:val="1"/>
      <w:numFmt w:val="decimal"/>
      <w:lvlText w:val="%2.%3.%4."/>
      <w:lvlJc w:val="left"/>
      <w:pPr>
        <w:ind w:left="922" w:hanging="216"/>
      </w:pPr>
      <w:rPr>
        <w:smallCaps w:val="0"/>
        <w:strike w:val="0"/>
        <w:shd w:val="clear" w:color="auto" w:fill="auto"/>
        <w:vertAlign w:val="baseline"/>
      </w:rPr>
    </w:lvl>
    <w:lvl w:ilvl="4">
      <w:start w:val="1"/>
      <w:numFmt w:val="decimal"/>
      <w:lvlText w:val="%2.%3.%4.%5."/>
      <w:lvlJc w:val="left"/>
      <w:pPr>
        <w:ind w:left="1426" w:hanging="360"/>
      </w:pPr>
      <w:rPr>
        <w:smallCaps w:val="0"/>
        <w:strike w:val="0"/>
        <w:shd w:val="clear" w:color="auto" w:fill="auto"/>
        <w:vertAlign w:val="baseline"/>
      </w:rPr>
    </w:lvl>
    <w:lvl w:ilvl="5">
      <w:start w:val="1"/>
      <w:numFmt w:val="decimal"/>
      <w:lvlText w:val="%2.%3.%4.%5.%6."/>
      <w:lvlJc w:val="left"/>
      <w:pPr>
        <w:ind w:left="1930" w:hanging="504"/>
      </w:pPr>
      <w:rPr>
        <w:smallCaps w:val="0"/>
        <w:strike w:val="0"/>
        <w:shd w:val="clear" w:color="auto" w:fill="auto"/>
        <w:vertAlign w:val="baseline"/>
      </w:rPr>
    </w:lvl>
    <w:lvl w:ilvl="6">
      <w:start w:val="1"/>
      <w:numFmt w:val="decimal"/>
      <w:lvlText w:val="%2.%3.%4.%5.%6.%7."/>
      <w:lvlJc w:val="left"/>
      <w:pPr>
        <w:ind w:left="2434" w:hanging="647"/>
      </w:pPr>
      <w:rPr>
        <w:smallCaps w:val="0"/>
        <w:strike w:val="0"/>
        <w:shd w:val="clear" w:color="auto" w:fill="auto"/>
        <w:vertAlign w:val="baseline"/>
      </w:rPr>
    </w:lvl>
    <w:lvl w:ilvl="7">
      <w:start w:val="1"/>
      <w:numFmt w:val="decimal"/>
      <w:lvlText w:val="%2.%3.%4.%5.%6.%7.%8."/>
      <w:lvlJc w:val="left"/>
      <w:pPr>
        <w:ind w:left="2938" w:hanging="792"/>
      </w:pPr>
      <w:rPr>
        <w:smallCaps w:val="0"/>
        <w:strike w:val="0"/>
        <w:shd w:val="clear" w:color="auto" w:fill="auto"/>
        <w:vertAlign w:val="baseline"/>
      </w:rPr>
    </w:lvl>
    <w:lvl w:ilvl="8">
      <w:start w:val="1"/>
      <w:numFmt w:val="decimal"/>
      <w:lvlText w:val="%2.%3.%4.%5.%6.%7.%8.%9."/>
      <w:lvlJc w:val="left"/>
      <w:pPr>
        <w:ind w:left="3514" w:hanging="1008"/>
      </w:pPr>
      <w:rPr>
        <w:smallCaps w:val="0"/>
        <w:strike w:val="0"/>
        <w:shd w:val="clear" w:color="auto" w:fill="auto"/>
        <w:vertAlign w:val="baseline"/>
      </w:rPr>
    </w:lvl>
  </w:abstractNum>
  <w:abstractNum w:abstractNumId="20" w15:restartNumberingAfterBreak="0">
    <w:nsid w:val="3FE628B3"/>
    <w:multiLevelType w:val="hybridMultilevel"/>
    <w:tmpl w:val="775A47B0"/>
    <w:lvl w:ilvl="0" w:tplc="94B45016">
      <w:start w:val="1"/>
      <w:numFmt w:val="bullet"/>
      <w:lvlText w:val=""/>
      <w:lvlJc w:val="left"/>
      <w:pPr>
        <w:ind w:left="360" w:hanging="360"/>
      </w:pPr>
      <w:rPr>
        <w:rFonts w:ascii="Symbol" w:hAnsi="Symbol" w:hint="default"/>
        <w:color w:val="000000" w:themeColor="text1"/>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05C5970"/>
    <w:multiLevelType w:val="hybridMultilevel"/>
    <w:tmpl w:val="AF10A6E2"/>
    <w:lvl w:ilvl="0" w:tplc="DFC40406">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344601"/>
    <w:multiLevelType w:val="hybridMultilevel"/>
    <w:tmpl w:val="A54CDD6C"/>
    <w:lvl w:ilvl="0" w:tplc="94B45016">
      <w:start w:val="1"/>
      <w:numFmt w:val="bullet"/>
      <w:lvlText w:val=""/>
      <w:lvlJc w:val="left"/>
      <w:pPr>
        <w:ind w:left="360" w:hanging="360"/>
      </w:pPr>
      <w:rPr>
        <w:rFonts w:ascii="Symbol" w:hAnsi="Symbol" w:hint="default"/>
        <w:color w:val="000000" w:themeColor="text1"/>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6D73545"/>
    <w:multiLevelType w:val="multilevel"/>
    <w:tmpl w:val="9A00748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4" w15:restartNumberingAfterBreak="0">
    <w:nsid w:val="57907296"/>
    <w:multiLevelType w:val="hybridMultilevel"/>
    <w:tmpl w:val="1B0639C4"/>
    <w:lvl w:ilvl="0" w:tplc="0409000B">
      <w:start w:val="1"/>
      <w:numFmt w:val="bullet"/>
      <w:lvlText w:val=""/>
      <w:lvlJc w:val="left"/>
      <w:pPr>
        <w:tabs>
          <w:tab w:val="num" w:pos="720"/>
        </w:tabs>
        <w:ind w:left="720" w:hanging="360"/>
      </w:pPr>
      <w:rPr>
        <w:rFonts w:ascii="Wingdings" w:hAnsi="Wingdings" w:hint="default"/>
      </w:rPr>
    </w:lvl>
    <w:lvl w:ilvl="1" w:tplc="684A688E">
      <w:numFmt w:val="bullet"/>
      <w:lvlText w:val="•"/>
      <w:lvlJc w:val="left"/>
      <w:pPr>
        <w:ind w:left="1800" w:hanging="720"/>
      </w:pPr>
      <w:rPr>
        <w:rFonts w:ascii="Arial Narrow" w:eastAsia="Times New Roman" w:hAnsi="Arial Narrow"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CD77DC1"/>
    <w:multiLevelType w:val="multilevel"/>
    <w:tmpl w:val="389AE92A"/>
    <w:lvl w:ilvl="0">
      <w:start w:val="1"/>
      <w:numFmt w:val="decimal"/>
      <w:lvlText w:val="%1."/>
      <w:lvlJc w:val="left"/>
      <w:pPr>
        <w:ind w:left="288" w:hanging="288"/>
      </w:pPr>
      <w:rPr>
        <w:smallCaps w:val="0"/>
        <w:strike w:val="0"/>
        <w:shd w:val="clear" w:color="auto" w:fill="auto"/>
        <w:vertAlign w:val="baseline"/>
      </w:rPr>
    </w:lvl>
    <w:lvl w:ilvl="1">
      <w:start w:val="1"/>
      <w:numFmt w:val="decimal"/>
      <w:lvlText w:val="%2."/>
      <w:lvlJc w:val="left"/>
      <w:pPr>
        <w:ind w:left="352" w:hanging="352"/>
      </w:pPr>
      <w:rPr>
        <w:smallCaps w:val="0"/>
        <w:strike w:val="0"/>
        <w:shd w:val="clear" w:color="auto" w:fill="auto"/>
        <w:vertAlign w:val="baseline"/>
      </w:rPr>
    </w:lvl>
    <w:lvl w:ilvl="2">
      <w:start w:val="1"/>
      <w:numFmt w:val="decimal"/>
      <w:lvlText w:val="%2.%3."/>
      <w:lvlJc w:val="left"/>
      <w:pPr>
        <w:ind w:left="418" w:hanging="374"/>
      </w:pPr>
      <w:rPr>
        <w:smallCaps w:val="0"/>
        <w:strike w:val="0"/>
        <w:shd w:val="clear" w:color="auto" w:fill="auto"/>
        <w:vertAlign w:val="baseline"/>
      </w:rPr>
    </w:lvl>
    <w:lvl w:ilvl="3">
      <w:start w:val="1"/>
      <w:numFmt w:val="decimal"/>
      <w:lvlText w:val="%2.%3.%4."/>
      <w:lvlJc w:val="left"/>
      <w:pPr>
        <w:ind w:left="922" w:hanging="216"/>
      </w:pPr>
      <w:rPr>
        <w:smallCaps w:val="0"/>
        <w:strike w:val="0"/>
        <w:shd w:val="clear" w:color="auto" w:fill="auto"/>
        <w:vertAlign w:val="baseline"/>
      </w:rPr>
    </w:lvl>
    <w:lvl w:ilvl="4">
      <w:start w:val="1"/>
      <w:numFmt w:val="decimal"/>
      <w:lvlText w:val="%2.%3.%4.%5."/>
      <w:lvlJc w:val="left"/>
      <w:pPr>
        <w:ind w:left="1426" w:hanging="360"/>
      </w:pPr>
      <w:rPr>
        <w:smallCaps w:val="0"/>
        <w:strike w:val="0"/>
        <w:shd w:val="clear" w:color="auto" w:fill="auto"/>
        <w:vertAlign w:val="baseline"/>
      </w:rPr>
    </w:lvl>
    <w:lvl w:ilvl="5">
      <w:start w:val="1"/>
      <w:numFmt w:val="decimal"/>
      <w:lvlText w:val="%2.%3.%4.%5.%6."/>
      <w:lvlJc w:val="left"/>
      <w:pPr>
        <w:ind w:left="1930" w:hanging="504"/>
      </w:pPr>
      <w:rPr>
        <w:smallCaps w:val="0"/>
        <w:strike w:val="0"/>
        <w:shd w:val="clear" w:color="auto" w:fill="auto"/>
        <w:vertAlign w:val="baseline"/>
      </w:rPr>
    </w:lvl>
    <w:lvl w:ilvl="6">
      <w:start w:val="1"/>
      <w:numFmt w:val="decimal"/>
      <w:lvlText w:val="%2.%3.%4.%5.%6.%7."/>
      <w:lvlJc w:val="left"/>
      <w:pPr>
        <w:ind w:left="2434" w:hanging="647"/>
      </w:pPr>
      <w:rPr>
        <w:smallCaps w:val="0"/>
        <w:strike w:val="0"/>
        <w:shd w:val="clear" w:color="auto" w:fill="auto"/>
        <w:vertAlign w:val="baseline"/>
      </w:rPr>
    </w:lvl>
    <w:lvl w:ilvl="7">
      <w:start w:val="1"/>
      <w:numFmt w:val="decimal"/>
      <w:lvlText w:val="%2.%3.%4.%5.%6.%7.%8."/>
      <w:lvlJc w:val="left"/>
      <w:pPr>
        <w:ind w:left="2938" w:hanging="792"/>
      </w:pPr>
      <w:rPr>
        <w:smallCaps w:val="0"/>
        <w:strike w:val="0"/>
        <w:shd w:val="clear" w:color="auto" w:fill="auto"/>
        <w:vertAlign w:val="baseline"/>
      </w:rPr>
    </w:lvl>
    <w:lvl w:ilvl="8">
      <w:start w:val="1"/>
      <w:numFmt w:val="decimal"/>
      <w:lvlText w:val="%2.%3.%4.%5.%6.%7.%8.%9."/>
      <w:lvlJc w:val="left"/>
      <w:pPr>
        <w:ind w:left="3514" w:hanging="1008"/>
      </w:pPr>
      <w:rPr>
        <w:smallCaps w:val="0"/>
        <w:strike w:val="0"/>
        <w:shd w:val="clear" w:color="auto" w:fill="auto"/>
        <w:vertAlign w:val="baseline"/>
      </w:rPr>
    </w:lvl>
  </w:abstractNum>
  <w:abstractNum w:abstractNumId="26" w15:restartNumberingAfterBreak="0">
    <w:nsid w:val="5F3374D6"/>
    <w:multiLevelType w:val="multilevel"/>
    <w:tmpl w:val="FEFCC470"/>
    <w:lvl w:ilvl="0">
      <w:start w:val="1"/>
      <w:numFmt w:val="decimal"/>
      <w:lvlText w:val="%1."/>
      <w:lvlJc w:val="left"/>
      <w:pPr>
        <w:ind w:left="288" w:hanging="288"/>
      </w:pPr>
      <w:rPr>
        <w:smallCaps w:val="0"/>
        <w:strike w:val="0"/>
        <w:shd w:val="clear" w:color="auto" w:fill="auto"/>
        <w:vertAlign w:val="baseline"/>
      </w:rPr>
    </w:lvl>
    <w:lvl w:ilvl="1">
      <w:start w:val="1"/>
      <w:numFmt w:val="decimal"/>
      <w:lvlText w:val="%2."/>
      <w:lvlJc w:val="left"/>
      <w:pPr>
        <w:ind w:left="335" w:hanging="335"/>
      </w:pPr>
      <w:rPr>
        <w:smallCaps w:val="0"/>
        <w:strike w:val="0"/>
        <w:shd w:val="clear" w:color="auto" w:fill="auto"/>
        <w:vertAlign w:val="baseline"/>
      </w:rPr>
    </w:lvl>
    <w:lvl w:ilvl="2">
      <w:start w:val="1"/>
      <w:numFmt w:val="decimal"/>
      <w:lvlText w:val="%2.%3."/>
      <w:lvlJc w:val="left"/>
      <w:pPr>
        <w:ind w:left="432" w:hanging="360"/>
      </w:pPr>
      <w:rPr>
        <w:smallCaps w:val="0"/>
        <w:strike w:val="0"/>
        <w:shd w:val="clear" w:color="auto" w:fill="auto"/>
        <w:vertAlign w:val="baseline"/>
      </w:rPr>
    </w:lvl>
    <w:lvl w:ilvl="3">
      <w:start w:val="1"/>
      <w:numFmt w:val="decimal"/>
      <w:lvlText w:val="%2.%3.%4."/>
      <w:lvlJc w:val="left"/>
      <w:pPr>
        <w:ind w:left="936" w:hanging="216"/>
      </w:pPr>
      <w:rPr>
        <w:smallCaps w:val="0"/>
        <w:strike w:val="0"/>
        <w:shd w:val="clear" w:color="auto" w:fill="auto"/>
        <w:vertAlign w:val="baseline"/>
      </w:rPr>
    </w:lvl>
    <w:lvl w:ilvl="4">
      <w:start w:val="1"/>
      <w:numFmt w:val="decimal"/>
      <w:lvlText w:val="%2.%3.%4.%5."/>
      <w:lvlJc w:val="left"/>
      <w:pPr>
        <w:ind w:left="1440" w:hanging="360"/>
      </w:pPr>
      <w:rPr>
        <w:smallCaps w:val="0"/>
        <w:strike w:val="0"/>
        <w:shd w:val="clear" w:color="auto" w:fill="auto"/>
        <w:vertAlign w:val="baseline"/>
      </w:rPr>
    </w:lvl>
    <w:lvl w:ilvl="5">
      <w:start w:val="1"/>
      <w:numFmt w:val="decimal"/>
      <w:lvlText w:val="%2.%3.%4.%5.%6."/>
      <w:lvlJc w:val="left"/>
      <w:pPr>
        <w:ind w:left="1944" w:hanging="504"/>
      </w:pPr>
      <w:rPr>
        <w:smallCaps w:val="0"/>
        <w:strike w:val="0"/>
        <w:shd w:val="clear" w:color="auto" w:fill="auto"/>
        <w:vertAlign w:val="baseline"/>
      </w:rPr>
    </w:lvl>
    <w:lvl w:ilvl="6">
      <w:start w:val="1"/>
      <w:numFmt w:val="decimal"/>
      <w:lvlText w:val="%2.%3.%4.%5.%6.%7."/>
      <w:lvlJc w:val="left"/>
      <w:pPr>
        <w:ind w:left="2448" w:hanging="648"/>
      </w:pPr>
      <w:rPr>
        <w:smallCaps w:val="0"/>
        <w:strike w:val="0"/>
        <w:shd w:val="clear" w:color="auto" w:fill="auto"/>
        <w:vertAlign w:val="baseline"/>
      </w:rPr>
    </w:lvl>
    <w:lvl w:ilvl="7">
      <w:start w:val="1"/>
      <w:numFmt w:val="decimal"/>
      <w:lvlText w:val="%2.%3.%4.%5.%6.%7.%8."/>
      <w:lvlJc w:val="left"/>
      <w:pPr>
        <w:ind w:left="2952" w:hanging="792"/>
      </w:pPr>
      <w:rPr>
        <w:smallCaps w:val="0"/>
        <w:strike w:val="0"/>
        <w:shd w:val="clear" w:color="auto" w:fill="auto"/>
        <w:vertAlign w:val="baseline"/>
      </w:rPr>
    </w:lvl>
    <w:lvl w:ilvl="8">
      <w:start w:val="1"/>
      <w:numFmt w:val="decimal"/>
      <w:lvlText w:val="%2.%3.%4.%5.%6.%7.%8.%9."/>
      <w:lvlJc w:val="left"/>
      <w:pPr>
        <w:ind w:left="3528" w:hanging="1008"/>
      </w:pPr>
      <w:rPr>
        <w:smallCaps w:val="0"/>
        <w:strike w:val="0"/>
        <w:shd w:val="clear" w:color="auto" w:fill="auto"/>
        <w:vertAlign w:val="baseline"/>
      </w:rPr>
    </w:lvl>
  </w:abstractNum>
  <w:abstractNum w:abstractNumId="27" w15:restartNumberingAfterBreak="0">
    <w:nsid w:val="60B664C5"/>
    <w:multiLevelType w:val="hybridMultilevel"/>
    <w:tmpl w:val="B10A5208"/>
    <w:lvl w:ilvl="0" w:tplc="BE3A5CC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7E33566"/>
    <w:multiLevelType w:val="multilevel"/>
    <w:tmpl w:val="A2C4B600"/>
    <w:lvl w:ilvl="0">
      <w:start w:val="1"/>
      <w:numFmt w:val="decimal"/>
      <w:lvlText w:val="%1."/>
      <w:lvlJc w:val="left"/>
      <w:pPr>
        <w:ind w:left="360" w:hanging="360"/>
      </w:pPr>
      <w:rPr>
        <w:rFonts w:hint="default"/>
      </w:rPr>
    </w:lvl>
    <w:lvl w:ilvl="1">
      <w:start w:val="1"/>
      <w:numFmt w:val="decimal"/>
      <w:lvlText w:val="7.%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AF742E3"/>
    <w:multiLevelType w:val="multilevel"/>
    <w:tmpl w:val="D36A12FE"/>
    <w:lvl w:ilvl="0">
      <w:start w:val="1"/>
      <w:numFmt w:val="decimal"/>
      <w:lvlText w:val="%1."/>
      <w:lvlJc w:val="left"/>
      <w:pPr>
        <w:ind w:left="360" w:hanging="360"/>
      </w:pPr>
      <w:rPr>
        <w:rFonts w:hint="default"/>
      </w:rPr>
    </w:lvl>
    <w:lvl w:ilvl="1">
      <w:start w:val="1"/>
      <w:numFmt w:val="decimal"/>
      <w:lvlText w:val="6.%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B444C16"/>
    <w:multiLevelType w:val="hybridMultilevel"/>
    <w:tmpl w:val="33E41AEC"/>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FBC415D"/>
    <w:multiLevelType w:val="hybridMultilevel"/>
    <w:tmpl w:val="B58EC180"/>
    <w:lvl w:ilvl="0" w:tplc="94B45016">
      <w:start w:val="1"/>
      <w:numFmt w:val="bullet"/>
      <w:lvlText w:val=""/>
      <w:lvlJc w:val="left"/>
      <w:pPr>
        <w:ind w:left="360" w:hanging="360"/>
      </w:pPr>
      <w:rPr>
        <w:rFonts w:ascii="Symbol" w:hAnsi="Symbol" w:hint="default"/>
        <w:color w:val="000000" w:themeColor="text1"/>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2272599"/>
    <w:multiLevelType w:val="hybridMultilevel"/>
    <w:tmpl w:val="25E0690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2A44424"/>
    <w:multiLevelType w:val="multilevel"/>
    <w:tmpl w:val="B2DC33F4"/>
    <w:lvl w:ilvl="0">
      <w:start w:val="1"/>
      <w:numFmt w:val="bullet"/>
      <w:lvlText w:val="➢"/>
      <w:lvlJc w:val="left"/>
      <w:pPr>
        <w:ind w:left="720" w:hanging="360"/>
      </w:pPr>
      <w:rPr>
        <w:rFonts w:ascii="Arimo" w:eastAsia="Arimo" w:hAnsi="Arimo" w:cs="Arimo"/>
        <w:b w:val="0"/>
        <w:i w:val="0"/>
        <w:smallCaps w:val="0"/>
        <w:strike w:val="0"/>
        <w:shd w:val="clear" w:color="auto" w:fill="auto"/>
        <w:vertAlign w:val="baseline"/>
      </w:rPr>
    </w:lvl>
    <w:lvl w:ilvl="1">
      <w:start w:val="1"/>
      <w:numFmt w:val="bullet"/>
      <w:lvlText w:val="o"/>
      <w:lvlJc w:val="left"/>
      <w:pPr>
        <w:ind w:left="1440" w:hanging="360"/>
      </w:pPr>
      <w:rPr>
        <w:rFonts w:ascii="Courier New" w:eastAsia="Courier New" w:hAnsi="Courier New" w:cs="Courier New"/>
        <w:b w:val="0"/>
        <w:i w:val="0"/>
        <w:smallCaps w:val="0"/>
        <w:strike w:val="0"/>
        <w:shd w:val="clear" w:color="auto" w:fill="auto"/>
        <w:vertAlign w:val="baseline"/>
      </w:rPr>
    </w:lvl>
    <w:lvl w:ilvl="2">
      <w:start w:val="1"/>
      <w:numFmt w:val="bullet"/>
      <w:lvlText w:val="▪"/>
      <w:lvlJc w:val="left"/>
      <w:pPr>
        <w:ind w:left="2160" w:hanging="360"/>
      </w:pPr>
      <w:rPr>
        <w:rFonts w:ascii="Courier New" w:eastAsia="Courier New" w:hAnsi="Courier New" w:cs="Courier New"/>
        <w:b w:val="0"/>
        <w:i w:val="0"/>
        <w:smallCaps w:val="0"/>
        <w:strike w:val="0"/>
        <w:shd w:val="clear" w:color="auto" w:fill="auto"/>
        <w:vertAlign w:val="baseline"/>
      </w:rPr>
    </w:lvl>
    <w:lvl w:ilvl="3">
      <w:start w:val="1"/>
      <w:numFmt w:val="bullet"/>
      <w:lvlText w:val="•"/>
      <w:lvlJc w:val="left"/>
      <w:pPr>
        <w:ind w:left="2880" w:hanging="360"/>
      </w:pPr>
      <w:rPr>
        <w:rFonts w:ascii="Courier New" w:eastAsia="Courier New" w:hAnsi="Courier New" w:cs="Courier New"/>
        <w:b w:val="0"/>
        <w:i w:val="0"/>
        <w:smallCaps w:val="0"/>
        <w:strike w:val="0"/>
        <w:shd w:val="clear" w:color="auto" w:fill="auto"/>
        <w:vertAlign w:val="baseline"/>
      </w:rPr>
    </w:lvl>
    <w:lvl w:ilvl="4">
      <w:start w:val="1"/>
      <w:numFmt w:val="bullet"/>
      <w:lvlText w:val="o"/>
      <w:lvlJc w:val="left"/>
      <w:pPr>
        <w:ind w:left="3600" w:hanging="360"/>
      </w:pPr>
      <w:rPr>
        <w:rFonts w:ascii="Courier New" w:eastAsia="Courier New" w:hAnsi="Courier New" w:cs="Courier New"/>
        <w:b w:val="0"/>
        <w:i w:val="0"/>
        <w:smallCaps w:val="0"/>
        <w:strike w:val="0"/>
        <w:shd w:val="clear" w:color="auto" w:fill="auto"/>
        <w:vertAlign w:val="baseline"/>
      </w:rPr>
    </w:lvl>
    <w:lvl w:ilvl="5">
      <w:start w:val="1"/>
      <w:numFmt w:val="bullet"/>
      <w:lvlText w:val="▪"/>
      <w:lvlJc w:val="left"/>
      <w:pPr>
        <w:ind w:left="4320" w:hanging="360"/>
      </w:pPr>
      <w:rPr>
        <w:rFonts w:ascii="Courier New" w:eastAsia="Courier New" w:hAnsi="Courier New" w:cs="Courier New"/>
        <w:b w:val="0"/>
        <w:i w:val="0"/>
        <w:smallCaps w:val="0"/>
        <w:strike w:val="0"/>
        <w:shd w:val="clear" w:color="auto" w:fill="auto"/>
        <w:vertAlign w:val="baseline"/>
      </w:rPr>
    </w:lvl>
    <w:lvl w:ilvl="6">
      <w:start w:val="1"/>
      <w:numFmt w:val="bullet"/>
      <w:lvlText w:val="•"/>
      <w:lvlJc w:val="left"/>
      <w:pPr>
        <w:ind w:left="5040" w:hanging="360"/>
      </w:pPr>
      <w:rPr>
        <w:rFonts w:ascii="Courier New" w:eastAsia="Courier New" w:hAnsi="Courier New" w:cs="Courier New"/>
        <w:b w:val="0"/>
        <w:i w:val="0"/>
        <w:smallCaps w:val="0"/>
        <w:strike w:val="0"/>
        <w:shd w:val="clear" w:color="auto" w:fill="auto"/>
        <w:vertAlign w:val="baseline"/>
      </w:rPr>
    </w:lvl>
    <w:lvl w:ilvl="7">
      <w:start w:val="1"/>
      <w:numFmt w:val="bullet"/>
      <w:lvlText w:val="o"/>
      <w:lvlJc w:val="left"/>
      <w:pPr>
        <w:ind w:left="5760" w:hanging="360"/>
      </w:pPr>
      <w:rPr>
        <w:rFonts w:ascii="Courier New" w:eastAsia="Courier New" w:hAnsi="Courier New" w:cs="Courier New"/>
        <w:b w:val="0"/>
        <w:i w:val="0"/>
        <w:smallCaps w:val="0"/>
        <w:strike w:val="0"/>
        <w:shd w:val="clear" w:color="auto" w:fill="auto"/>
        <w:vertAlign w:val="baseline"/>
      </w:rPr>
    </w:lvl>
    <w:lvl w:ilvl="8">
      <w:start w:val="1"/>
      <w:numFmt w:val="bullet"/>
      <w:lvlText w:val="▪"/>
      <w:lvlJc w:val="left"/>
      <w:pPr>
        <w:ind w:left="6480" w:hanging="360"/>
      </w:pPr>
      <w:rPr>
        <w:rFonts w:ascii="Courier New" w:eastAsia="Courier New" w:hAnsi="Courier New" w:cs="Courier New"/>
        <w:b w:val="0"/>
        <w:i w:val="0"/>
        <w:smallCaps w:val="0"/>
        <w:strike w:val="0"/>
        <w:shd w:val="clear" w:color="auto" w:fill="auto"/>
        <w:vertAlign w:val="baseline"/>
      </w:rPr>
    </w:lvl>
  </w:abstractNum>
  <w:abstractNum w:abstractNumId="34" w15:restartNumberingAfterBreak="0">
    <w:nsid w:val="76ED23A8"/>
    <w:multiLevelType w:val="multilevel"/>
    <w:tmpl w:val="4448D4C6"/>
    <w:lvl w:ilvl="0">
      <w:start w:val="1"/>
      <w:numFmt w:val="decimal"/>
      <w:lvlText w:val="%1."/>
      <w:lvlJc w:val="left"/>
      <w:pPr>
        <w:ind w:left="288" w:hanging="288"/>
      </w:pPr>
      <w:rPr>
        <w:smallCaps w:val="0"/>
        <w:strike w:val="0"/>
        <w:shd w:val="clear" w:color="auto" w:fill="auto"/>
        <w:vertAlign w:val="baseline"/>
      </w:rPr>
    </w:lvl>
    <w:lvl w:ilvl="1">
      <w:start w:val="1"/>
      <w:numFmt w:val="decimal"/>
      <w:lvlText w:val="%2."/>
      <w:lvlJc w:val="left"/>
      <w:pPr>
        <w:ind w:left="358" w:hanging="358"/>
      </w:pPr>
      <w:rPr>
        <w:smallCaps w:val="0"/>
        <w:strike w:val="0"/>
        <w:shd w:val="clear" w:color="auto" w:fill="auto"/>
        <w:vertAlign w:val="baseline"/>
      </w:rPr>
    </w:lvl>
    <w:lvl w:ilvl="2">
      <w:start w:val="1"/>
      <w:numFmt w:val="decimal"/>
      <w:lvlText w:val="%2.%3."/>
      <w:lvlJc w:val="left"/>
      <w:pPr>
        <w:ind w:left="418" w:hanging="374"/>
      </w:pPr>
      <w:rPr>
        <w:smallCaps w:val="0"/>
        <w:strike w:val="0"/>
        <w:shd w:val="clear" w:color="auto" w:fill="auto"/>
        <w:vertAlign w:val="baseline"/>
      </w:rPr>
    </w:lvl>
    <w:lvl w:ilvl="3">
      <w:start w:val="1"/>
      <w:numFmt w:val="decimal"/>
      <w:lvlText w:val="%2.%3.%4."/>
      <w:lvlJc w:val="left"/>
      <w:pPr>
        <w:ind w:left="922" w:hanging="216"/>
      </w:pPr>
      <w:rPr>
        <w:smallCaps w:val="0"/>
        <w:strike w:val="0"/>
        <w:shd w:val="clear" w:color="auto" w:fill="auto"/>
        <w:vertAlign w:val="baseline"/>
      </w:rPr>
    </w:lvl>
    <w:lvl w:ilvl="4">
      <w:start w:val="1"/>
      <w:numFmt w:val="decimal"/>
      <w:lvlText w:val="%2.%3.%4.%5."/>
      <w:lvlJc w:val="left"/>
      <w:pPr>
        <w:ind w:left="1426" w:hanging="360"/>
      </w:pPr>
      <w:rPr>
        <w:smallCaps w:val="0"/>
        <w:strike w:val="0"/>
        <w:shd w:val="clear" w:color="auto" w:fill="auto"/>
        <w:vertAlign w:val="baseline"/>
      </w:rPr>
    </w:lvl>
    <w:lvl w:ilvl="5">
      <w:start w:val="1"/>
      <w:numFmt w:val="decimal"/>
      <w:lvlText w:val="%2.%3.%4.%5.%6."/>
      <w:lvlJc w:val="left"/>
      <w:pPr>
        <w:ind w:left="1930" w:hanging="504"/>
      </w:pPr>
      <w:rPr>
        <w:smallCaps w:val="0"/>
        <w:strike w:val="0"/>
        <w:shd w:val="clear" w:color="auto" w:fill="auto"/>
        <w:vertAlign w:val="baseline"/>
      </w:rPr>
    </w:lvl>
    <w:lvl w:ilvl="6">
      <w:start w:val="1"/>
      <w:numFmt w:val="decimal"/>
      <w:lvlText w:val="%2.%3.%4.%5.%6.%7."/>
      <w:lvlJc w:val="left"/>
      <w:pPr>
        <w:ind w:left="2434" w:hanging="647"/>
      </w:pPr>
      <w:rPr>
        <w:smallCaps w:val="0"/>
        <w:strike w:val="0"/>
        <w:shd w:val="clear" w:color="auto" w:fill="auto"/>
        <w:vertAlign w:val="baseline"/>
      </w:rPr>
    </w:lvl>
    <w:lvl w:ilvl="7">
      <w:start w:val="1"/>
      <w:numFmt w:val="decimal"/>
      <w:lvlText w:val="%2.%3.%4.%5.%6.%7.%8."/>
      <w:lvlJc w:val="left"/>
      <w:pPr>
        <w:ind w:left="2938" w:hanging="792"/>
      </w:pPr>
      <w:rPr>
        <w:smallCaps w:val="0"/>
        <w:strike w:val="0"/>
        <w:shd w:val="clear" w:color="auto" w:fill="auto"/>
        <w:vertAlign w:val="baseline"/>
      </w:rPr>
    </w:lvl>
    <w:lvl w:ilvl="8">
      <w:start w:val="1"/>
      <w:numFmt w:val="decimal"/>
      <w:lvlText w:val="%2.%3.%4.%5.%6.%7.%8.%9."/>
      <w:lvlJc w:val="left"/>
      <w:pPr>
        <w:ind w:left="3514" w:hanging="1008"/>
      </w:pPr>
      <w:rPr>
        <w:smallCaps w:val="0"/>
        <w:strike w:val="0"/>
        <w:shd w:val="clear" w:color="auto" w:fill="auto"/>
        <w:vertAlign w:val="baseline"/>
      </w:rPr>
    </w:lvl>
  </w:abstractNum>
  <w:abstractNum w:abstractNumId="35" w15:restartNumberingAfterBreak="0">
    <w:nsid w:val="76F31807"/>
    <w:multiLevelType w:val="multilevel"/>
    <w:tmpl w:val="0890B6FE"/>
    <w:lvl w:ilvl="0">
      <w:start w:val="1"/>
      <w:numFmt w:val="bullet"/>
      <w:lvlText w:val="●"/>
      <w:lvlJc w:val="left"/>
      <w:pPr>
        <w:ind w:left="720" w:hanging="360"/>
      </w:pPr>
      <w:rPr>
        <w:rFonts w:ascii="Noto Sans Symbols" w:eastAsia="Noto Sans Symbols" w:hAnsi="Noto Sans Symbols" w:cs="Noto Sans Symbols"/>
        <w:b w:val="0"/>
        <w:i w:val="0"/>
        <w:smallCaps w:val="0"/>
        <w:strike w:val="0"/>
        <w:shd w:val="clear" w:color="auto" w:fill="auto"/>
        <w:vertAlign w:val="baseline"/>
      </w:rPr>
    </w:lvl>
    <w:lvl w:ilvl="1">
      <w:start w:val="1"/>
      <w:numFmt w:val="bullet"/>
      <w:lvlText w:val="o"/>
      <w:lvlJc w:val="left"/>
      <w:pPr>
        <w:ind w:left="1440" w:hanging="360"/>
      </w:pPr>
      <w:rPr>
        <w:rFonts w:ascii="Arimo" w:eastAsia="Arimo" w:hAnsi="Arimo" w:cs="Arimo"/>
        <w:b w:val="0"/>
        <w:i w:val="0"/>
        <w:smallCaps w:val="0"/>
        <w:strike w:val="0"/>
        <w:shd w:val="clear" w:color="auto" w:fill="auto"/>
        <w:vertAlign w:val="baseline"/>
      </w:rPr>
    </w:lvl>
    <w:lvl w:ilvl="2">
      <w:start w:val="1"/>
      <w:numFmt w:val="bullet"/>
      <w:lvlText w:val="▪"/>
      <w:lvlJc w:val="left"/>
      <w:pPr>
        <w:ind w:left="2160" w:hanging="360"/>
      </w:pPr>
      <w:rPr>
        <w:rFonts w:ascii="Arimo" w:eastAsia="Arimo" w:hAnsi="Arimo" w:cs="Arimo"/>
        <w:b w:val="0"/>
        <w:i w:val="0"/>
        <w:smallCaps w:val="0"/>
        <w:strike w:val="0"/>
        <w:shd w:val="clear" w:color="auto" w:fill="auto"/>
        <w:vertAlign w:val="baseline"/>
      </w:rPr>
    </w:lvl>
    <w:lvl w:ilvl="3">
      <w:start w:val="1"/>
      <w:numFmt w:val="bullet"/>
      <w:lvlText w:val="●"/>
      <w:lvlJc w:val="left"/>
      <w:pPr>
        <w:ind w:left="2880" w:hanging="360"/>
      </w:pPr>
      <w:rPr>
        <w:rFonts w:ascii="Noto Sans Symbols" w:eastAsia="Noto Sans Symbols" w:hAnsi="Noto Sans Symbols" w:cs="Noto Sans Symbols"/>
        <w:b w:val="0"/>
        <w:i w:val="0"/>
        <w:smallCaps w:val="0"/>
        <w:strike w:val="0"/>
        <w:shd w:val="clear" w:color="auto" w:fill="auto"/>
        <w:vertAlign w:val="baseline"/>
      </w:rPr>
    </w:lvl>
    <w:lvl w:ilvl="4">
      <w:start w:val="1"/>
      <w:numFmt w:val="bullet"/>
      <w:lvlText w:val="o"/>
      <w:lvlJc w:val="left"/>
      <w:pPr>
        <w:ind w:left="3600" w:hanging="360"/>
      </w:pPr>
      <w:rPr>
        <w:rFonts w:ascii="Arimo" w:eastAsia="Arimo" w:hAnsi="Arimo" w:cs="Arimo"/>
        <w:b w:val="0"/>
        <w:i w:val="0"/>
        <w:smallCaps w:val="0"/>
        <w:strike w:val="0"/>
        <w:shd w:val="clear" w:color="auto" w:fill="auto"/>
        <w:vertAlign w:val="baseline"/>
      </w:rPr>
    </w:lvl>
    <w:lvl w:ilvl="5">
      <w:start w:val="1"/>
      <w:numFmt w:val="bullet"/>
      <w:lvlText w:val="▪"/>
      <w:lvlJc w:val="left"/>
      <w:pPr>
        <w:ind w:left="4320" w:hanging="360"/>
      </w:pPr>
      <w:rPr>
        <w:rFonts w:ascii="Arimo" w:eastAsia="Arimo" w:hAnsi="Arimo" w:cs="Arimo"/>
        <w:b w:val="0"/>
        <w:i w:val="0"/>
        <w:smallCaps w:val="0"/>
        <w:strike w:val="0"/>
        <w:shd w:val="clear" w:color="auto" w:fill="auto"/>
        <w:vertAlign w:val="baseline"/>
      </w:rPr>
    </w:lvl>
    <w:lvl w:ilvl="6">
      <w:start w:val="1"/>
      <w:numFmt w:val="bullet"/>
      <w:lvlText w:val="●"/>
      <w:lvlJc w:val="left"/>
      <w:pPr>
        <w:ind w:left="5040" w:hanging="360"/>
      </w:pPr>
      <w:rPr>
        <w:rFonts w:ascii="Noto Sans Symbols" w:eastAsia="Noto Sans Symbols" w:hAnsi="Noto Sans Symbols" w:cs="Noto Sans Symbols"/>
        <w:b w:val="0"/>
        <w:i w:val="0"/>
        <w:smallCaps w:val="0"/>
        <w:strike w:val="0"/>
        <w:shd w:val="clear" w:color="auto" w:fill="auto"/>
        <w:vertAlign w:val="baseline"/>
      </w:rPr>
    </w:lvl>
    <w:lvl w:ilvl="7">
      <w:start w:val="1"/>
      <w:numFmt w:val="bullet"/>
      <w:lvlText w:val="o"/>
      <w:lvlJc w:val="left"/>
      <w:pPr>
        <w:ind w:left="5760" w:hanging="360"/>
      </w:pPr>
      <w:rPr>
        <w:rFonts w:ascii="Arimo" w:eastAsia="Arimo" w:hAnsi="Arimo" w:cs="Arimo"/>
        <w:b w:val="0"/>
        <w:i w:val="0"/>
        <w:smallCaps w:val="0"/>
        <w:strike w:val="0"/>
        <w:shd w:val="clear" w:color="auto" w:fill="auto"/>
        <w:vertAlign w:val="baseline"/>
      </w:rPr>
    </w:lvl>
    <w:lvl w:ilvl="8">
      <w:start w:val="1"/>
      <w:numFmt w:val="bullet"/>
      <w:lvlText w:val="▪"/>
      <w:lvlJc w:val="left"/>
      <w:pPr>
        <w:ind w:left="6480" w:hanging="360"/>
      </w:pPr>
      <w:rPr>
        <w:rFonts w:ascii="Arimo" w:eastAsia="Arimo" w:hAnsi="Arimo" w:cs="Arimo"/>
        <w:b w:val="0"/>
        <w:i w:val="0"/>
        <w:smallCaps w:val="0"/>
        <w:strike w:val="0"/>
        <w:shd w:val="clear" w:color="auto" w:fill="auto"/>
        <w:vertAlign w:val="baseline"/>
      </w:rPr>
    </w:lvl>
  </w:abstractNum>
  <w:abstractNum w:abstractNumId="36" w15:restartNumberingAfterBreak="0">
    <w:nsid w:val="78B341A5"/>
    <w:multiLevelType w:val="hybridMultilevel"/>
    <w:tmpl w:val="C1E2A30C"/>
    <w:lvl w:ilvl="0" w:tplc="94B45016">
      <w:start w:val="1"/>
      <w:numFmt w:val="bullet"/>
      <w:lvlText w:val=""/>
      <w:lvlJc w:val="left"/>
      <w:pPr>
        <w:ind w:left="360" w:hanging="360"/>
      </w:pPr>
      <w:rPr>
        <w:rFonts w:ascii="Symbol" w:hAnsi="Symbol" w:hint="default"/>
        <w:color w:val="000000" w:themeColor="text1"/>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FF4177B"/>
    <w:multiLevelType w:val="multilevel"/>
    <w:tmpl w:val="1BFE2396"/>
    <w:lvl w:ilvl="0">
      <w:start w:val="1"/>
      <w:numFmt w:val="bullet"/>
      <w:lvlText w:val="➢"/>
      <w:lvlJc w:val="left"/>
      <w:pPr>
        <w:ind w:left="720" w:hanging="360"/>
      </w:pPr>
      <w:rPr>
        <w:rFonts w:ascii="Arimo" w:eastAsia="Arimo" w:hAnsi="Arimo" w:cs="Arimo"/>
        <w:b w:val="0"/>
        <w:i w:val="0"/>
        <w:smallCaps w:val="0"/>
        <w:strike w:val="0"/>
        <w:shd w:val="clear" w:color="auto" w:fill="auto"/>
        <w:vertAlign w:val="baseline"/>
      </w:rPr>
    </w:lvl>
    <w:lvl w:ilvl="1">
      <w:start w:val="1"/>
      <w:numFmt w:val="bullet"/>
      <w:lvlText w:val="o"/>
      <w:lvlJc w:val="left"/>
      <w:pPr>
        <w:ind w:left="1440" w:hanging="360"/>
      </w:pPr>
      <w:rPr>
        <w:rFonts w:ascii="Courier New" w:eastAsia="Courier New" w:hAnsi="Courier New" w:cs="Courier New"/>
        <w:b w:val="0"/>
        <w:i w:val="0"/>
        <w:smallCaps w:val="0"/>
        <w:strike w:val="0"/>
        <w:shd w:val="clear" w:color="auto" w:fill="auto"/>
        <w:vertAlign w:val="baseline"/>
      </w:rPr>
    </w:lvl>
    <w:lvl w:ilvl="2">
      <w:start w:val="1"/>
      <w:numFmt w:val="bullet"/>
      <w:lvlText w:val="▪"/>
      <w:lvlJc w:val="left"/>
      <w:pPr>
        <w:ind w:left="2160" w:hanging="360"/>
      </w:pPr>
      <w:rPr>
        <w:rFonts w:ascii="Courier New" w:eastAsia="Courier New" w:hAnsi="Courier New" w:cs="Courier New"/>
        <w:b w:val="0"/>
        <w:i w:val="0"/>
        <w:smallCaps w:val="0"/>
        <w:strike w:val="0"/>
        <w:shd w:val="clear" w:color="auto" w:fill="auto"/>
        <w:vertAlign w:val="baseline"/>
      </w:rPr>
    </w:lvl>
    <w:lvl w:ilvl="3">
      <w:start w:val="1"/>
      <w:numFmt w:val="bullet"/>
      <w:lvlText w:val="•"/>
      <w:lvlJc w:val="left"/>
      <w:pPr>
        <w:ind w:left="2880" w:hanging="360"/>
      </w:pPr>
      <w:rPr>
        <w:rFonts w:ascii="Courier New" w:eastAsia="Courier New" w:hAnsi="Courier New" w:cs="Courier New"/>
        <w:b w:val="0"/>
        <w:i w:val="0"/>
        <w:smallCaps w:val="0"/>
        <w:strike w:val="0"/>
        <w:shd w:val="clear" w:color="auto" w:fill="auto"/>
        <w:vertAlign w:val="baseline"/>
      </w:rPr>
    </w:lvl>
    <w:lvl w:ilvl="4">
      <w:start w:val="1"/>
      <w:numFmt w:val="bullet"/>
      <w:lvlText w:val="o"/>
      <w:lvlJc w:val="left"/>
      <w:pPr>
        <w:ind w:left="3600" w:hanging="360"/>
      </w:pPr>
      <w:rPr>
        <w:rFonts w:ascii="Courier New" w:eastAsia="Courier New" w:hAnsi="Courier New" w:cs="Courier New"/>
        <w:b w:val="0"/>
        <w:i w:val="0"/>
        <w:smallCaps w:val="0"/>
        <w:strike w:val="0"/>
        <w:shd w:val="clear" w:color="auto" w:fill="auto"/>
        <w:vertAlign w:val="baseline"/>
      </w:rPr>
    </w:lvl>
    <w:lvl w:ilvl="5">
      <w:start w:val="1"/>
      <w:numFmt w:val="bullet"/>
      <w:lvlText w:val="▪"/>
      <w:lvlJc w:val="left"/>
      <w:pPr>
        <w:ind w:left="4320" w:hanging="360"/>
      </w:pPr>
      <w:rPr>
        <w:rFonts w:ascii="Courier New" w:eastAsia="Courier New" w:hAnsi="Courier New" w:cs="Courier New"/>
        <w:b w:val="0"/>
        <w:i w:val="0"/>
        <w:smallCaps w:val="0"/>
        <w:strike w:val="0"/>
        <w:shd w:val="clear" w:color="auto" w:fill="auto"/>
        <w:vertAlign w:val="baseline"/>
      </w:rPr>
    </w:lvl>
    <w:lvl w:ilvl="6">
      <w:start w:val="1"/>
      <w:numFmt w:val="bullet"/>
      <w:lvlText w:val="•"/>
      <w:lvlJc w:val="left"/>
      <w:pPr>
        <w:ind w:left="5040" w:hanging="360"/>
      </w:pPr>
      <w:rPr>
        <w:rFonts w:ascii="Courier New" w:eastAsia="Courier New" w:hAnsi="Courier New" w:cs="Courier New"/>
        <w:b w:val="0"/>
        <w:i w:val="0"/>
        <w:smallCaps w:val="0"/>
        <w:strike w:val="0"/>
        <w:shd w:val="clear" w:color="auto" w:fill="auto"/>
        <w:vertAlign w:val="baseline"/>
      </w:rPr>
    </w:lvl>
    <w:lvl w:ilvl="7">
      <w:start w:val="1"/>
      <w:numFmt w:val="bullet"/>
      <w:lvlText w:val="o"/>
      <w:lvlJc w:val="left"/>
      <w:pPr>
        <w:ind w:left="5760" w:hanging="360"/>
      </w:pPr>
      <w:rPr>
        <w:rFonts w:ascii="Courier New" w:eastAsia="Courier New" w:hAnsi="Courier New" w:cs="Courier New"/>
        <w:b w:val="0"/>
        <w:i w:val="0"/>
        <w:smallCaps w:val="0"/>
        <w:strike w:val="0"/>
        <w:shd w:val="clear" w:color="auto" w:fill="auto"/>
        <w:vertAlign w:val="baseline"/>
      </w:rPr>
    </w:lvl>
    <w:lvl w:ilvl="8">
      <w:start w:val="1"/>
      <w:numFmt w:val="bullet"/>
      <w:lvlText w:val="▪"/>
      <w:lvlJc w:val="left"/>
      <w:pPr>
        <w:ind w:left="6480" w:hanging="360"/>
      </w:pPr>
      <w:rPr>
        <w:rFonts w:ascii="Courier New" w:eastAsia="Courier New" w:hAnsi="Courier New" w:cs="Courier New"/>
        <w:b w:val="0"/>
        <w:i w:val="0"/>
        <w:smallCaps w:val="0"/>
        <w:strike w:val="0"/>
        <w:shd w:val="clear" w:color="auto" w:fill="auto"/>
        <w:vertAlign w:val="baseline"/>
      </w:rPr>
    </w:lvl>
  </w:abstractNum>
  <w:num w:numId="1" w16cid:durableId="788083932">
    <w:abstractNumId w:val="0"/>
  </w:num>
  <w:num w:numId="2" w16cid:durableId="786630529">
    <w:abstractNumId w:val="33"/>
  </w:num>
  <w:num w:numId="3" w16cid:durableId="204756580">
    <w:abstractNumId w:val="2"/>
  </w:num>
  <w:num w:numId="4" w16cid:durableId="1622807586">
    <w:abstractNumId w:val="25"/>
  </w:num>
  <w:num w:numId="5" w16cid:durableId="405225254">
    <w:abstractNumId w:val="19"/>
  </w:num>
  <w:num w:numId="6" w16cid:durableId="1890720236">
    <w:abstractNumId w:val="35"/>
  </w:num>
  <w:num w:numId="7" w16cid:durableId="1265959768">
    <w:abstractNumId w:val="17"/>
  </w:num>
  <w:num w:numId="8" w16cid:durableId="18316555">
    <w:abstractNumId w:val="7"/>
  </w:num>
  <w:num w:numId="9" w16cid:durableId="572934738">
    <w:abstractNumId w:val="34"/>
  </w:num>
  <w:num w:numId="10" w16cid:durableId="206915764">
    <w:abstractNumId w:val="26"/>
  </w:num>
  <w:num w:numId="11" w16cid:durableId="140540553">
    <w:abstractNumId w:val="23"/>
  </w:num>
  <w:num w:numId="12" w16cid:durableId="1110854450">
    <w:abstractNumId w:val="37"/>
  </w:num>
  <w:num w:numId="13" w16cid:durableId="1678267081">
    <w:abstractNumId w:val="15"/>
  </w:num>
  <w:num w:numId="14" w16cid:durableId="10185478">
    <w:abstractNumId w:val="13"/>
  </w:num>
  <w:num w:numId="15" w16cid:durableId="203953664">
    <w:abstractNumId w:val="9"/>
  </w:num>
  <w:num w:numId="16" w16cid:durableId="1568224774">
    <w:abstractNumId w:val="16"/>
  </w:num>
  <w:num w:numId="17" w16cid:durableId="1810902586">
    <w:abstractNumId w:val="28"/>
  </w:num>
  <w:num w:numId="18" w16cid:durableId="1769037144">
    <w:abstractNumId w:val="29"/>
  </w:num>
  <w:num w:numId="19" w16cid:durableId="539124521">
    <w:abstractNumId w:val="32"/>
  </w:num>
  <w:num w:numId="20" w16cid:durableId="901528220">
    <w:abstractNumId w:val="3"/>
  </w:num>
  <w:num w:numId="21" w16cid:durableId="696780940">
    <w:abstractNumId w:val="5"/>
  </w:num>
  <w:num w:numId="22" w16cid:durableId="1319306824">
    <w:abstractNumId w:val="11"/>
  </w:num>
  <w:num w:numId="23" w16cid:durableId="45184547">
    <w:abstractNumId w:val="30"/>
  </w:num>
  <w:num w:numId="24" w16cid:durableId="1597598049">
    <w:abstractNumId w:val="4"/>
  </w:num>
  <w:num w:numId="25" w16cid:durableId="1755543926">
    <w:abstractNumId w:val="12"/>
  </w:num>
  <w:num w:numId="26" w16cid:durableId="563955819">
    <w:abstractNumId w:val="10"/>
  </w:num>
  <w:num w:numId="27" w16cid:durableId="993144526">
    <w:abstractNumId w:val="24"/>
  </w:num>
  <w:num w:numId="28" w16cid:durableId="970326918">
    <w:abstractNumId w:val="1"/>
  </w:num>
  <w:num w:numId="29" w16cid:durableId="1391686376">
    <w:abstractNumId w:val="21"/>
  </w:num>
  <w:num w:numId="30" w16cid:durableId="27149307">
    <w:abstractNumId w:val="27"/>
  </w:num>
  <w:num w:numId="31" w16cid:durableId="1913194947">
    <w:abstractNumId w:val="8"/>
  </w:num>
  <w:num w:numId="32" w16cid:durableId="631138942">
    <w:abstractNumId w:val="6"/>
  </w:num>
  <w:num w:numId="33" w16cid:durableId="1641299787">
    <w:abstractNumId w:val="18"/>
  </w:num>
  <w:num w:numId="34" w16cid:durableId="1665350282">
    <w:abstractNumId w:val="36"/>
  </w:num>
  <w:num w:numId="35" w16cid:durableId="1251618917">
    <w:abstractNumId w:val="22"/>
  </w:num>
  <w:num w:numId="36" w16cid:durableId="195966354">
    <w:abstractNumId w:val="31"/>
  </w:num>
  <w:num w:numId="37" w16cid:durableId="1754663083">
    <w:abstractNumId w:val="20"/>
  </w:num>
  <w:num w:numId="38" w16cid:durableId="213956434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349F"/>
    <w:rsid w:val="0000001B"/>
    <w:rsid w:val="000123AA"/>
    <w:rsid w:val="000150F0"/>
    <w:rsid w:val="00021CDD"/>
    <w:rsid w:val="00026503"/>
    <w:rsid w:val="00027260"/>
    <w:rsid w:val="000339BF"/>
    <w:rsid w:val="0003590F"/>
    <w:rsid w:val="00044655"/>
    <w:rsid w:val="00055972"/>
    <w:rsid w:val="000564F0"/>
    <w:rsid w:val="0006056B"/>
    <w:rsid w:val="00070782"/>
    <w:rsid w:val="00074659"/>
    <w:rsid w:val="000747B9"/>
    <w:rsid w:val="0008309A"/>
    <w:rsid w:val="00083750"/>
    <w:rsid w:val="00084192"/>
    <w:rsid w:val="00087BDC"/>
    <w:rsid w:val="00093F88"/>
    <w:rsid w:val="000A38FA"/>
    <w:rsid w:val="000A60FE"/>
    <w:rsid w:val="000A7B07"/>
    <w:rsid w:val="000B0086"/>
    <w:rsid w:val="000B208B"/>
    <w:rsid w:val="000B57AC"/>
    <w:rsid w:val="000B6970"/>
    <w:rsid w:val="000B7B95"/>
    <w:rsid w:val="000C301B"/>
    <w:rsid w:val="000C36B3"/>
    <w:rsid w:val="000D1086"/>
    <w:rsid w:val="000D2E8A"/>
    <w:rsid w:val="000D5DDB"/>
    <w:rsid w:val="000D779F"/>
    <w:rsid w:val="000E2B81"/>
    <w:rsid w:val="000E35DF"/>
    <w:rsid w:val="000F1B5D"/>
    <w:rsid w:val="000F303D"/>
    <w:rsid w:val="000F3666"/>
    <w:rsid w:val="001070EA"/>
    <w:rsid w:val="00115B3C"/>
    <w:rsid w:val="00115EED"/>
    <w:rsid w:val="001177E4"/>
    <w:rsid w:val="001200D9"/>
    <w:rsid w:val="00124459"/>
    <w:rsid w:val="00130317"/>
    <w:rsid w:val="00130E50"/>
    <w:rsid w:val="00134DC6"/>
    <w:rsid w:val="00135CEF"/>
    <w:rsid w:val="001409E5"/>
    <w:rsid w:val="001436FA"/>
    <w:rsid w:val="00144071"/>
    <w:rsid w:val="001450AC"/>
    <w:rsid w:val="00147F1B"/>
    <w:rsid w:val="00154272"/>
    <w:rsid w:val="00155C9B"/>
    <w:rsid w:val="00167101"/>
    <w:rsid w:val="0016779B"/>
    <w:rsid w:val="001723C0"/>
    <w:rsid w:val="00172451"/>
    <w:rsid w:val="00190D10"/>
    <w:rsid w:val="00191835"/>
    <w:rsid w:val="00194BA9"/>
    <w:rsid w:val="00195B80"/>
    <w:rsid w:val="001971C6"/>
    <w:rsid w:val="001A2A2C"/>
    <w:rsid w:val="001B0774"/>
    <w:rsid w:val="001B4EF5"/>
    <w:rsid w:val="001B5003"/>
    <w:rsid w:val="001B7F86"/>
    <w:rsid w:val="001C1630"/>
    <w:rsid w:val="001C4C8F"/>
    <w:rsid w:val="001D0F8F"/>
    <w:rsid w:val="001D4260"/>
    <w:rsid w:val="001D61D3"/>
    <w:rsid w:val="001E6787"/>
    <w:rsid w:val="001E6A50"/>
    <w:rsid w:val="001F4E60"/>
    <w:rsid w:val="001F66A7"/>
    <w:rsid w:val="00201120"/>
    <w:rsid w:val="00201FD1"/>
    <w:rsid w:val="0020433F"/>
    <w:rsid w:val="00204E38"/>
    <w:rsid w:val="00212319"/>
    <w:rsid w:val="00214E3F"/>
    <w:rsid w:val="00214F0C"/>
    <w:rsid w:val="00216584"/>
    <w:rsid w:val="002177DF"/>
    <w:rsid w:val="00220F79"/>
    <w:rsid w:val="00221CCB"/>
    <w:rsid w:val="00226D1B"/>
    <w:rsid w:val="00230B8E"/>
    <w:rsid w:val="00233370"/>
    <w:rsid w:val="00236CAF"/>
    <w:rsid w:val="00246539"/>
    <w:rsid w:val="00250519"/>
    <w:rsid w:val="00251545"/>
    <w:rsid w:val="00254771"/>
    <w:rsid w:val="002612FF"/>
    <w:rsid w:val="00262007"/>
    <w:rsid w:val="00273D89"/>
    <w:rsid w:val="00274868"/>
    <w:rsid w:val="002774D4"/>
    <w:rsid w:val="00280F9E"/>
    <w:rsid w:val="002924A5"/>
    <w:rsid w:val="002969AE"/>
    <w:rsid w:val="002A3AF3"/>
    <w:rsid w:val="002A4179"/>
    <w:rsid w:val="002A4401"/>
    <w:rsid w:val="002A6344"/>
    <w:rsid w:val="002A7441"/>
    <w:rsid w:val="002B048B"/>
    <w:rsid w:val="002C06C3"/>
    <w:rsid w:val="002C0790"/>
    <w:rsid w:val="002C133E"/>
    <w:rsid w:val="002C5E29"/>
    <w:rsid w:val="002D17F8"/>
    <w:rsid w:val="002D7ADF"/>
    <w:rsid w:val="002E719F"/>
    <w:rsid w:val="002F00EF"/>
    <w:rsid w:val="002F469C"/>
    <w:rsid w:val="003002D9"/>
    <w:rsid w:val="0030069E"/>
    <w:rsid w:val="00302288"/>
    <w:rsid w:val="00305C4F"/>
    <w:rsid w:val="0030615F"/>
    <w:rsid w:val="00311FC8"/>
    <w:rsid w:val="003142F9"/>
    <w:rsid w:val="00314B45"/>
    <w:rsid w:val="003160B7"/>
    <w:rsid w:val="00323613"/>
    <w:rsid w:val="00323AD8"/>
    <w:rsid w:val="003314A2"/>
    <w:rsid w:val="00332D04"/>
    <w:rsid w:val="00335154"/>
    <w:rsid w:val="0034104D"/>
    <w:rsid w:val="00343DF2"/>
    <w:rsid w:val="00346549"/>
    <w:rsid w:val="00350B8C"/>
    <w:rsid w:val="00353EEC"/>
    <w:rsid w:val="003555D9"/>
    <w:rsid w:val="003564F2"/>
    <w:rsid w:val="003627BE"/>
    <w:rsid w:val="0036496C"/>
    <w:rsid w:val="00372905"/>
    <w:rsid w:val="0037301B"/>
    <w:rsid w:val="003733D0"/>
    <w:rsid w:val="00374619"/>
    <w:rsid w:val="003747AD"/>
    <w:rsid w:val="0037763B"/>
    <w:rsid w:val="00381E85"/>
    <w:rsid w:val="00386971"/>
    <w:rsid w:val="0038789E"/>
    <w:rsid w:val="00394C21"/>
    <w:rsid w:val="00395B32"/>
    <w:rsid w:val="00396601"/>
    <w:rsid w:val="00396740"/>
    <w:rsid w:val="00396EB2"/>
    <w:rsid w:val="003B2DF1"/>
    <w:rsid w:val="003B31F8"/>
    <w:rsid w:val="003D420C"/>
    <w:rsid w:val="003D62C4"/>
    <w:rsid w:val="003E42AE"/>
    <w:rsid w:val="003E6852"/>
    <w:rsid w:val="003F2425"/>
    <w:rsid w:val="003F3F1D"/>
    <w:rsid w:val="003F40E1"/>
    <w:rsid w:val="003F77BC"/>
    <w:rsid w:val="004001FE"/>
    <w:rsid w:val="004008ED"/>
    <w:rsid w:val="0040165D"/>
    <w:rsid w:val="0040219B"/>
    <w:rsid w:val="00422E0E"/>
    <w:rsid w:val="00426288"/>
    <w:rsid w:val="004270DF"/>
    <w:rsid w:val="00432A12"/>
    <w:rsid w:val="00437095"/>
    <w:rsid w:val="00437ADB"/>
    <w:rsid w:val="00450C68"/>
    <w:rsid w:val="00453D4C"/>
    <w:rsid w:val="00454F92"/>
    <w:rsid w:val="004553AF"/>
    <w:rsid w:val="004603C5"/>
    <w:rsid w:val="004614AD"/>
    <w:rsid w:val="00463E6A"/>
    <w:rsid w:val="00464389"/>
    <w:rsid w:val="00465684"/>
    <w:rsid w:val="0047021B"/>
    <w:rsid w:val="004707EE"/>
    <w:rsid w:val="00470E42"/>
    <w:rsid w:val="00471949"/>
    <w:rsid w:val="004735E2"/>
    <w:rsid w:val="004819C3"/>
    <w:rsid w:val="004842C1"/>
    <w:rsid w:val="0049320F"/>
    <w:rsid w:val="0049415E"/>
    <w:rsid w:val="0049681C"/>
    <w:rsid w:val="004A0DCB"/>
    <w:rsid w:val="004A0DDE"/>
    <w:rsid w:val="004A19EA"/>
    <w:rsid w:val="004B6300"/>
    <w:rsid w:val="004C352F"/>
    <w:rsid w:val="004C427B"/>
    <w:rsid w:val="004C5B43"/>
    <w:rsid w:val="004C70EE"/>
    <w:rsid w:val="004D1192"/>
    <w:rsid w:val="004D16E4"/>
    <w:rsid w:val="004D1C9B"/>
    <w:rsid w:val="004D1FB8"/>
    <w:rsid w:val="004D327F"/>
    <w:rsid w:val="004D3DB0"/>
    <w:rsid w:val="004D6184"/>
    <w:rsid w:val="004D6552"/>
    <w:rsid w:val="004E17DA"/>
    <w:rsid w:val="004E3265"/>
    <w:rsid w:val="004E6A07"/>
    <w:rsid w:val="004F1B87"/>
    <w:rsid w:val="004F2706"/>
    <w:rsid w:val="004F2A0D"/>
    <w:rsid w:val="00501CF1"/>
    <w:rsid w:val="005021D2"/>
    <w:rsid w:val="00505C82"/>
    <w:rsid w:val="005060BF"/>
    <w:rsid w:val="005106F3"/>
    <w:rsid w:val="00510B77"/>
    <w:rsid w:val="0051247F"/>
    <w:rsid w:val="00514A7B"/>
    <w:rsid w:val="00516270"/>
    <w:rsid w:val="0052024D"/>
    <w:rsid w:val="00520C54"/>
    <w:rsid w:val="00523690"/>
    <w:rsid w:val="00524F90"/>
    <w:rsid w:val="005309A0"/>
    <w:rsid w:val="0053522B"/>
    <w:rsid w:val="00536031"/>
    <w:rsid w:val="00536789"/>
    <w:rsid w:val="00542240"/>
    <w:rsid w:val="00542FC7"/>
    <w:rsid w:val="0054614A"/>
    <w:rsid w:val="00551999"/>
    <w:rsid w:val="005531B5"/>
    <w:rsid w:val="0055590D"/>
    <w:rsid w:val="00555B82"/>
    <w:rsid w:val="00560054"/>
    <w:rsid w:val="00575E81"/>
    <w:rsid w:val="00577B49"/>
    <w:rsid w:val="005810DE"/>
    <w:rsid w:val="005859CD"/>
    <w:rsid w:val="00587191"/>
    <w:rsid w:val="00595B20"/>
    <w:rsid w:val="005968EC"/>
    <w:rsid w:val="005A3B79"/>
    <w:rsid w:val="005A4A28"/>
    <w:rsid w:val="005A5350"/>
    <w:rsid w:val="005A7413"/>
    <w:rsid w:val="005A7714"/>
    <w:rsid w:val="005B0DE6"/>
    <w:rsid w:val="005C44F6"/>
    <w:rsid w:val="005C5871"/>
    <w:rsid w:val="005C67F9"/>
    <w:rsid w:val="005E01DC"/>
    <w:rsid w:val="005E4125"/>
    <w:rsid w:val="005E4B0F"/>
    <w:rsid w:val="005F080E"/>
    <w:rsid w:val="005F570C"/>
    <w:rsid w:val="006000C1"/>
    <w:rsid w:val="00600E8F"/>
    <w:rsid w:val="00603A45"/>
    <w:rsid w:val="006131E0"/>
    <w:rsid w:val="00616756"/>
    <w:rsid w:val="00616923"/>
    <w:rsid w:val="00616BF0"/>
    <w:rsid w:val="00626B6E"/>
    <w:rsid w:val="00626BA2"/>
    <w:rsid w:val="0063089E"/>
    <w:rsid w:val="00632000"/>
    <w:rsid w:val="00632284"/>
    <w:rsid w:val="0063405A"/>
    <w:rsid w:val="00634C6E"/>
    <w:rsid w:val="00636521"/>
    <w:rsid w:val="00636DA3"/>
    <w:rsid w:val="0064336B"/>
    <w:rsid w:val="00643691"/>
    <w:rsid w:val="00643E65"/>
    <w:rsid w:val="006502AD"/>
    <w:rsid w:val="00653453"/>
    <w:rsid w:val="006579C6"/>
    <w:rsid w:val="006615C8"/>
    <w:rsid w:val="00665C1F"/>
    <w:rsid w:val="00665FAC"/>
    <w:rsid w:val="00667805"/>
    <w:rsid w:val="0067176B"/>
    <w:rsid w:val="0067300B"/>
    <w:rsid w:val="0067430B"/>
    <w:rsid w:val="00677D7F"/>
    <w:rsid w:val="00681937"/>
    <w:rsid w:val="006837D5"/>
    <w:rsid w:val="00683E85"/>
    <w:rsid w:val="006840F4"/>
    <w:rsid w:val="006950AF"/>
    <w:rsid w:val="0069787D"/>
    <w:rsid w:val="00697EFA"/>
    <w:rsid w:val="006A05E3"/>
    <w:rsid w:val="006A3109"/>
    <w:rsid w:val="006A5951"/>
    <w:rsid w:val="006A7232"/>
    <w:rsid w:val="006B2915"/>
    <w:rsid w:val="006B34A9"/>
    <w:rsid w:val="006B39F3"/>
    <w:rsid w:val="006B3B68"/>
    <w:rsid w:val="006B541E"/>
    <w:rsid w:val="006B78D3"/>
    <w:rsid w:val="006C3698"/>
    <w:rsid w:val="006D12CD"/>
    <w:rsid w:val="006D2C73"/>
    <w:rsid w:val="006D645F"/>
    <w:rsid w:val="006D7E91"/>
    <w:rsid w:val="006E22DF"/>
    <w:rsid w:val="006F2142"/>
    <w:rsid w:val="006F2EAF"/>
    <w:rsid w:val="006F47AD"/>
    <w:rsid w:val="006F5889"/>
    <w:rsid w:val="006F6A46"/>
    <w:rsid w:val="00711C46"/>
    <w:rsid w:val="00715EDA"/>
    <w:rsid w:val="0072046E"/>
    <w:rsid w:val="00725FB8"/>
    <w:rsid w:val="007276AE"/>
    <w:rsid w:val="007442B7"/>
    <w:rsid w:val="00745924"/>
    <w:rsid w:val="00752F73"/>
    <w:rsid w:val="00756AB4"/>
    <w:rsid w:val="00760587"/>
    <w:rsid w:val="00763BD5"/>
    <w:rsid w:val="0076433B"/>
    <w:rsid w:val="0076483E"/>
    <w:rsid w:val="00770DC8"/>
    <w:rsid w:val="00775165"/>
    <w:rsid w:val="00776F19"/>
    <w:rsid w:val="0077768B"/>
    <w:rsid w:val="007938D0"/>
    <w:rsid w:val="00795C51"/>
    <w:rsid w:val="007A0CCB"/>
    <w:rsid w:val="007A24EA"/>
    <w:rsid w:val="007A7F7A"/>
    <w:rsid w:val="007B71AA"/>
    <w:rsid w:val="007C26A7"/>
    <w:rsid w:val="007C34A6"/>
    <w:rsid w:val="007C43AB"/>
    <w:rsid w:val="007C4CFE"/>
    <w:rsid w:val="007D792E"/>
    <w:rsid w:val="007F2F38"/>
    <w:rsid w:val="00804DDA"/>
    <w:rsid w:val="00811CEE"/>
    <w:rsid w:val="00814985"/>
    <w:rsid w:val="00825FA9"/>
    <w:rsid w:val="00826EA0"/>
    <w:rsid w:val="0082707E"/>
    <w:rsid w:val="00834627"/>
    <w:rsid w:val="00835242"/>
    <w:rsid w:val="0083552F"/>
    <w:rsid w:val="00837DCB"/>
    <w:rsid w:val="00841018"/>
    <w:rsid w:val="008443F5"/>
    <w:rsid w:val="008546A8"/>
    <w:rsid w:val="00872291"/>
    <w:rsid w:val="00882AB9"/>
    <w:rsid w:val="00885350"/>
    <w:rsid w:val="00885CE7"/>
    <w:rsid w:val="00886C14"/>
    <w:rsid w:val="00886F3A"/>
    <w:rsid w:val="00895EE5"/>
    <w:rsid w:val="008A2FB3"/>
    <w:rsid w:val="008B4F47"/>
    <w:rsid w:val="008C2EDC"/>
    <w:rsid w:val="008C7497"/>
    <w:rsid w:val="008D3315"/>
    <w:rsid w:val="008D486A"/>
    <w:rsid w:val="008E192E"/>
    <w:rsid w:val="008E429D"/>
    <w:rsid w:val="008E7428"/>
    <w:rsid w:val="008F1130"/>
    <w:rsid w:val="009013D2"/>
    <w:rsid w:val="00906830"/>
    <w:rsid w:val="00917100"/>
    <w:rsid w:val="00917440"/>
    <w:rsid w:val="00921B51"/>
    <w:rsid w:val="00923246"/>
    <w:rsid w:val="00926E39"/>
    <w:rsid w:val="009378D5"/>
    <w:rsid w:val="00952032"/>
    <w:rsid w:val="00956B38"/>
    <w:rsid w:val="0096688A"/>
    <w:rsid w:val="0096694B"/>
    <w:rsid w:val="009674CD"/>
    <w:rsid w:val="009679A5"/>
    <w:rsid w:val="00984964"/>
    <w:rsid w:val="0098592C"/>
    <w:rsid w:val="009914EE"/>
    <w:rsid w:val="00991FF7"/>
    <w:rsid w:val="0099460C"/>
    <w:rsid w:val="00994868"/>
    <w:rsid w:val="00994F6C"/>
    <w:rsid w:val="00996346"/>
    <w:rsid w:val="0099743C"/>
    <w:rsid w:val="009978C0"/>
    <w:rsid w:val="009A1524"/>
    <w:rsid w:val="009A156C"/>
    <w:rsid w:val="009A1B61"/>
    <w:rsid w:val="009A38BA"/>
    <w:rsid w:val="009B20EC"/>
    <w:rsid w:val="009B63B2"/>
    <w:rsid w:val="009C0516"/>
    <w:rsid w:val="009C1ACA"/>
    <w:rsid w:val="009C6B3F"/>
    <w:rsid w:val="009C7458"/>
    <w:rsid w:val="009D15FF"/>
    <w:rsid w:val="009D1644"/>
    <w:rsid w:val="009D173A"/>
    <w:rsid w:val="009D1961"/>
    <w:rsid w:val="009D2B76"/>
    <w:rsid w:val="009D3DC2"/>
    <w:rsid w:val="009D4C08"/>
    <w:rsid w:val="009D4C0D"/>
    <w:rsid w:val="009D5356"/>
    <w:rsid w:val="009E0FC0"/>
    <w:rsid w:val="009E56FC"/>
    <w:rsid w:val="009E619D"/>
    <w:rsid w:val="009F2009"/>
    <w:rsid w:val="00A02195"/>
    <w:rsid w:val="00A046A6"/>
    <w:rsid w:val="00A04EB0"/>
    <w:rsid w:val="00A075E2"/>
    <w:rsid w:val="00A105BD"/>
    <w:rsid w:val="00A1281E"/>
    <w:rsid w:val="00A15AE6"/>
    <w:rsid w:val="00A16708"/>
    <w:rsid w:val="00A1755F"/>
    <w:rsid w:val="00A23640"/>
    <w:rsid w:val="00A31647"/>
    <w:rsid w:val="00A33471"/>
    <w:rsid w:val="00A342EE"/>
    <w:rsid w:val="00A37A65"/>
    <w:rsid w:val="00A4465C"/>
    <w:rsid w:val="00A44EC7"/>
    <w:rsid w:val="00A47B0C"/>
    <w:rsid w:val="00A53A13"/>
    <w:rsid w:val="00A54B81"/>
    <w:rsid w:val="00A570A9"/>
    <w:rsid w:val="00A61DC1"/>
    <w:rsid w:val="00A67E7A"/>
    <w:rsid w:val="00A87416"/>
    <w:rsid w:val="00A8758F"/>
    <w:rsid w:val="00A911C5"/>
    <w:rsid w:val="00A91583"/>
    <w:rsid w:val="00A933FA"/>
    <w:rsid w:val="00AA0871"/>
    <w:rsid w:val="00AA2E9B"/>
    <w:rsid w:val="00AA610B"/>
    <w:rsid w:val="00AA6F62"/>
    <w:rsid w:val="00AB3F6C"/>
    <w:rsid w:val="00AB44E9"/>
    <w:rsid w:val="00AB5658"/>
    <w:rsid w:val="00AB5BEA"/>
    <w:rsid w:val="00AC0982"/>
    <w:rsid w:val="00AC473A"/>
    <w:rsid w:val="00AC5549"/>
    <w:rsid w:val="00AD3411"/>
    <w:rsid w:val="00AD502E"/>
    <w:rsid w:val="00AD7701"/>
    <w:rsid w:val="00AE26C9"/>
    <w:rsid w:val="00AE2BEB"/>
    <w:rsid w:val="00AE4088"/>
    <w:rsid w:val="00AE5A78"/>
    <w:rsid w:val="00AF011F"/>
    <w:rsid w:val="00AF0C34"/>
    <w:rsid w:val="00AF557D"/>
    <w:rsid w:val="00B04FE3"/>
    <w:rsid w:val="00B12D59"/>
    <w:rsid w:val="00B13319"/>
    <w:rsid w:val="00B13FD4"/>
    <w:rsid w:val="00B24857"/>
    <w:rsid w:val="00B24AA6"/>
    <w:rsid w:val="00B2743A"/>
    <w:rsid w:val="00B30BF4"/>
    <w:rsid w:val="00B319B9"/>
    <w:rsid w:val="00B32198"/>
    <w:rsid w:val="00B35336"/>
    <w:rsid w:val="00B355E2"/>
    <w:rsid w:val="00B36295"/>
    <w:rsid w:val="00B41986"/>
    <w:rsid w:val="00B42629"/>
    <w:rsid w:val="00B47F8C"/>
    <w:rsid w:val="00B53BD9"/>
    <w:rsid w:val="00B5722D"/>
    <w:rsid w:val="00B65F09"/>
    <w:rsid w:val="00B6731A"/>
    <w:rsid w:val="00B67B55"/>
    <w:rsid w:val="00B67C91"/>
    <w:rsid w:val="00B718A2"/>
    <w:rsid w:val="00B90509"/>
    <w:rsid w:val="00B9558C"/>
    <w:rsid w:val="00B963E7"/>
    <w:rsid w:val="00B97956"/>
    <w:rsid w:val="00BA54AD"/>
    <w:rsid w:val="00BA7D4B"/>
    <w:rsid w:val="00BB0085"/>
    <w:rsid w:val="00BB4C36"/>
    <w:rsid w:val="00BB60BB"/>
    <w:rsid w:val="00BC3B87"/>
    <w:rsid w:val="00BC7966"/>
    <w:rsid w:val="00BD4F39"/>
    <w:rsid w:val="00BD723F"/>
    <w:rsid w:val="00BE121A"/>
    <w:rsid w:val="00BE7179"/>
    <w:rsid w:val="00C04E50"/>
    <w:rsid w:val="00C04FE2"/>
    <w:rsid w:val="00C061ED"/>
    <w:rsid w:val="00C06C96"/>
    <w:rsid w:val="00C06F74"/>
    <w:rsid w:val="00C0708F"/>
    <w:rsid w:val="00C13083"/>
    <w:rsid w:val="00C13435"/>
    <w:rsid w:val="00C15062"/>
    <w:rsid w:val="00C201E1"/>
    <w:rsid w:val="00C21EC2"/>
    <w:rsid w:val="00C25BC3"/>
    <w:rsid w:val="00C26EC7"/>
    <w:rsid w:val="00C31D98"/>
    <w:rsid w:val="00C5429C"/>
    <w:rsid w:val="00C56AB8"/>
    <w:rsid w:val="00C63C0A"/>
    <w:rsid w:val="00C64896"/>
    <w:rsid w:val="00C66EBC"/>
    <w:rsid w:val="00C74210"/>
    <w:rsid w:val="00C749E0"/>
    <w:rsid w:val="00C755C2"/>
    <w:rsid w:val="00C77258"/>
    <w:rsid w:val="00C77911"/>
    <w:rsid w:val="00C77AD0"/>
    <w:rsid w:val="00C81A11"/>
    <w:rsid w:val="00C82D9A"/>
    <w:rsid w:val="00C85BFF"/>
    <w:rsid w:val="00C87D7A"/>
    <w:rsid w:val="00C93F75"/>
    <w:rsid w:val="00C95807"/>
    <w:rsid w:val="00C95C89"/>
    <w:rsid w:val="00C9742E"/>
    <w:rsid w:val="00CA1C15"/>
    <w:rsid w:val="00CA5C8D"/>
    <w:rsid w:val="00CA68FA"/>
    <w:rsid w:val="00CB3985"/>
    <w:rsid w:val="00CB62BF"/>
    <w:rsid w:val="00CB680D"/>
    <w:rsid w:val="00CB7955"/>
    <w:rsid w:val="00CC1E28"/>
    <w:rsid w:val="00CC595E"/>
    <w:rsid w:val="00CD3896"/>
    <w:rsid w:val="00CE02D3"/>
    <w:rsid w:val="00CE3319"/>
    <w:rsid w:val="00CE7A34"/>
    <w:rsid w:val="00CF053C"/>
    <w:rsid w:val="00CF5A98"/>
    <w:rsid w:val="00CF75DE"/>
    <w:rsid w:val="00CF79D2"/>
    <w:rsid w:val="00D0125C"/>
    <w:rsid w:val="00D11558"/>
    <w:rsid w:val="00D13F3E"/>
    <w:rsid w:val="00D23948"/>
    <w:rsid w:val="00D260B0"/>
    <w:rsid w:val="00D271BD"/>
    <w:rsid w:val="00D32913"/>
    <w:rsid w:val="00D34960"/>
    <w:rsid w:val="00D35AF5"/>
    <w:rsid w:val="00D417DD"/>
    <w:rsid w:val="00D41B3F"/>
    <w:rsid w:val="00D42372"/>
    <w:rsid w:val="00D42A0D"/>
    <w:rsid w:val="00D51537"/>
    <w:rsid w:val="00D529F6"/>
    <w:rsid w:val="00D569B7"/>
    <w:rsid w:val="00D64925"/>
    <w:rsid w:val="00D72B2D"/>
    <w:rsid w:val="00D81657"/>
    <w:rsid w:val="00D858F8"/>
    <w:rsid w:val="00D87C28"/>
    <w:rsid w:val="00D94B33"/>
    <w:rsid w:val="00D9661F"/>
    <w:rsid w:val="00DA349F"/>
    <w:rsid w:val="00DA5D4E"/>
    <w:rsid w:val="00DA6E5E"/>
    <w:rsid w:val="00DB36CA"/>
    <w:rsid w:val="00DC118A"/>
    <w:rsid w:val="00DC573F"/>
    <w:rsid w:val="00DD664C"/>
    <w:rsid w:val="00DD7C95"/>
    <w:rsid w:val="00DE039D"/>
    <w:rsid w:val="00DE355F"/>
    <w:rsid w:val="00DE452F"/>
    <w:rsid w:val="00DE650B"/>
    <w:rsid w:val="00DF4965"/>
    <w:rsid w:val="00E026D5"/>
    <w:rsid w:val="00E02714"/>
    <w:rsid w:val="00E051D2"/>
    <w:rsid w:val="00E0643C"/>
    <w:rsid w:val="00E102E8"/>
    <w:rsid w:val="00E126AC"/>
    <w:rsid w:val="00E24C33"/>
    <w:rsid w:val="00E27DC9"/>
    <w:rsid w:val="00E307B7"/>
    <w:rsid w:val="00E30E1E"/>
    <w:rsid w:val="00E32755"/>
    <w:rsid w:val="00E33DCE"/>
    <w:rsid w:val="00E3407D"/>
    <w:rsid w:val="00E347F3"/>
    <w:rsid w:val="00E3633A"/>
    <w:rsid w:val="00E43EDB"/>
    <w:rsid w:val="00E5062A"/>
    <w:rsid w:val="00E53E55"/>
    <w:rsid w:val="00E5444D"/>
    <w:rsid w:val="00E62620"/>
    <w:rsid w:val="00E663CF"/>
    <w:rsid w:val="00E71C21"/>
    <w:rsid w:val="00E74580"/>
    <w:rsid w:val="00E76B43"/>
    <w:rsid w:val="00E77BA9"/>
    <w:rsid w:val="00E91718"/>
    <w:rsid w:val="00EA05CE"/>
    <w:rsid w:val="00EA1366"/>
    <w:rsid w:val="00EA5EA2"/>
    <w:rsid w:val="00EA5EF3"/>
    <w:rsid w:val="00EB2FA6"/>
    <w:rsid w:val="00EB37A2"/>
    <w:rsid w:val="00EC2D7E"/>
    <w:rsid w:val="00EC442F"/>
    <w:rsid w:val="00EC60D9"/>
    <w:rsid w:val="00ED2B02"/>
    <w:rsid w:val="00ED3719"/>
    <w:rsid w:val="00ED3D7F"/>
    <w:rsid w:val="00ED6726"/>
    <w:rsid w:val="00EE6856"/>
    <w:rsid w:val="00EF3648"/>
    <w:rsid w:val="00EF6275"/>
    <w:rsid w:val="00EF630B"/>
    <w:rsid w:val="00EF7A9F"/>
    <w:rsid w:val="00F04BF5"/>
    <w:rsid w:val="00F06390"/>
    <w:rsid w:val="00F143D9"/>
    <w:rsid w:val="00F14D21"/>
    <w:rsid w:val="00F20E7B"/>
    <w:rsid w:val="00F220D8"/>
    <w:rsid w:val="00F23A85"/>
    <w:rsid w:val="00F31F2F"/>
    <w:rsid w:val="00F33033"/>
    <w:rsid w:val="00F33EF2"/>
    <w:rsid w:val="00F34395"/>
    <w:rsid w:val="00F34BC2"/>
    <w:rsid w:val="00F358EA"/>
    <w:rsid w:val="00F37A78"/>
    <w:rsid w:val="00F566FA"/>
    <w:rsid w:val="00F567B9"/>
    <w:rsid w:val="00F60261"/>
    <w:rsid w:val="00F6113E"/>
    <w:rsid w:val="00F77AF2"/>
    <w:rsid w:val="00F77E8B"/>
    <w:rsid w:val="00F80E65"/>
    <w:rsid w:val="00F81848"/>
    <w:rsid w:val="00F84810"/>
    <w:rsid w:val="00F901AF"/>
    <w:rsid w:val="00F90750"/>
    <w:rsid w:val="00F91FA0"/>
    <w:rsid w:val="00F93702"/>
    <w:rsid w:val="00F944A9"/>
    <w:rsid w:val="00FA0BF9"/>
    <w:rsid w:val="00FA1390"/>
    <w:rsid w:val="00FA352B"/>
    <w:rsid w:val="00FA39DA"/>
    <w:rsid w:val="00FA5E06"/>
    <w:rsid w:val="00FA7A27"/>
    <w:rsid w:val="00FB4876"/>
    <w:rsid w:val="00FB5596"/>
    <w:rsid w:val="00FC24DB"/>
    <w:rsid w:val="00FC60B8"/>
    <w:rsid w:val="00FC7AE8"/>
    <w:rsid w:val="00FD56A8"/>
    <w:rsid w:val="00FE1759"/>
    <w:rsid w:val="00FE4B98"/>
    <w:rsid w:val="00FE627A"/>
    <w:rsid w:val="00FF5678"/>
    <w:rsid w:val="00FF79BA"/>
    <w:rsid w:val="4ACECA31"/>
    <w:rsid w:val="7679E0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1F18CE"/>
  <w15:docId w15:val="{6CD9F1A3-5B8B-4DDD-BE17-B3C808070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743C"/>
  </w:style>
  <w:style w:type="paragraph" w:styleId="Heading1">
    <w:name w:val="heading 1"/>
    <w:basedOn w:val="Normal"/>
    <w:next w:val="Normal"/>
    <w:qFormat/>
    <w:rsid w:val="0099743C"/>
    <w:pPr>
      <w:keepNext/>
      <w:keepLines/>
      <w:spacing w:before="480" w:after="120"/>
      <w:outlineLvl w:val="0"/>
    </w:pPr>
    <w:rPr>
      <w:b/>
      <w:sz w:val="48"/>
      <w:szCs w:val="48"/>
    </w:rPr>
  </w:style>
  <w:style w:type="paragraph" w:styleId="Heading2">
    <w:name w:val="heading 2"/>
    <w:basedOn w:val="Normal"/>
    <w:next w:val="Normal"/>
    <w:unhideWhenUsed/>
    <w:qFormat/>
    <w:rsid w:val="0099743C"/>
    <w:pPr>
      <w:keepNext/>
      <w:keepLines/>
      <w:spacing w:before="360" w:after="80"/>
      <w:outlineLvl w:val="1"/>
    </w:pPr>
    <w:rPr>
      <w:b/>
      <w:sz w:val="36"/>
      <w:szCs w:val="36"/>
    </w:rPr>
  </w:style>
  <w:style w:type="paragraph" w:styleId="Heading3">
    <w:name w:val="heading 3"/>
    <w:basedOn w:val="Normal"/>
    <w:next w:val="Normal"/>
    <w:unhideWhenUsed/>
    <w:qFormat/>
    <w:rsid w:val="0099743C"/>
    <w:pPr>
      <w:keepNext/>
      <w:keepLines/>
      <w:spacing w:before="280" w:after="80"/>
      <w:outlineLvl w:val="2"/>
    </w:pPr>
    <w:rPr>
      <w:b/>
      <w:sz w:val="28"/>
      <w:szCs w:val="28"/>
    </w:rPr>
  </w:style>
  <w:style w:type="paragraph" w:styleId="Heading4">
    <w:name w:val="heading 4"/>
    <w:basedOn w:val="Normal"/>
    <w:next w:val="Normal"/>
    <w:unhideWhenUsed/>
    <w:qFormat/>
    <w:rsid w:val="0099743C"/>
    <w:pPr>
      <w:keepNext/>
      <w:keepLines/>
      <w:spacing w:before="240" w:after="40"/>
      <w:outlineLvl w:val="3"/>
    </w:pPr>
    <w:rPr>
      <w:b/>
    </w:rPr>
  </w:style>
  <w:style w:type="paragraph" w:styleId="Heading5">
    <w:name w:val="heading 5"/>
    <w:basedOn w:val="Normal"/>
    <w:next w:val="Normal"/>
    <w:unhideWhenUsed/>
    <w:qFormat/>
    <w:rsid w:val="0099743C"/>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semiHidden/>
    <w:unhideWhenUsed/>
    <w:rsid w:val="0099743C"/>
    <w:rPr>
      <w:sz w:val="20"/>
      <w:szCs w:val="20"/>
    </w:rPr>
  </w:style>
  <w:style w:type="character" w:customStyle="1" w:styleId="CommentTextChar">
    <w:name w:val="Comment Text Char"/>
    <w:basedOn w:val="DefaultParagraphFont"/>
    <w:link w:val="CommentText"/>
    <w:semiHidden/>
    <w:rPr>
      <w:sz w:val="20"/>
      <w:szCs w:val="20"/>
    </w:rPr>
  </w:style>
  <w:style w:type="character" w:styleId="CommentReference">
    <w:name w:val="annotation reference"/>
    <w:basedOn w:val="DefaultParagraphFont"/>
    <w:semiHidden/>
    <w:unhideWhenUsed/>
    <w:rsid w:val="0099743C"/>
    <w:rPr>
      <w:sz w:val="16"/>
      <w:szCs w:val="16"/>
    </w:rPr>
  </w:style>
  <w:style w:type="paragraph" w:styleId="Revision">
    <w:name w:val="Revision"/>
    <w:hidden/>
    <w:uiPriority w:val="99"/>
    <w:semiHidden/>
    <w:rsid w:val="0099743C"/>
  </w:style>
  <w:style w:type="table" w:styleId="TableGrid">
    <w:name w:val="Table Grid"/>
    <w:basedOn w:val="TableNormal"/>
    <w:uiPriority w:val="39"/>
    <w:rsid w:val="00201FD1"/>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9743C"/>
    <w:pPr>
      <w:ind w:left="720"/>
      <w:contextualSpacing/>
    </w:pPr>
    <w:rPr>
      <w:rFonts w:asciiTheme="minorHAnsi" w:eastAsiaTheme="minorHAnsi" w:hAnsiTheme="minorHAnsi" w:cstheme="minorBidi"/>
    </w:rPr>
  </w:style>
  <w:style w:type="character" w:styleId="PlaceholderText">
    <w:name w:val="Placeholder Text"/>
    <w:basedOn w:val="DefaultParagraphFont"/>
    <w:uiPriority w:val="99"/>
    <w:semiHidden/>
    <w:rsid w:val="006A5951"/>
    <w:rPr>
      <w:color w:val="808080"/>
    </w:rPr>
  </w:style>
  <w:style w:type="paragraph" w:styleId="Header">
    <w:name w:val="header"/>
    <w:basedOn w:val="Normal"/>
    <w:link w:val="HeaderChar"/>
    <w:rsid w:val="0099743C"/>
    <w:pPr>
      <w:tabs>
        <w:tab w:val="center" w:pos="4153"/>
        <w:tab w:val="right" w:pos="8306"/>
      </w:tabs>
      <w:spacing w:before="120" w:after="120"/>
      <w:jc w:val="both"/>
    </w:pPr>
    <w:rPr>
      <w:rFonts w:ascii="Century Gothic" w:hAnsi="Century Gothic"/>
      <w:sz w:val="20"/>
      <w:lang w:val="en-GB"/>
    </w:rPr>
  </w:style>
  <w:style w:type="character" w:customStyle="1" w:styleId="HeaderChar">
    <w:name w:val="Header Char"/>
    <w:basedOn w:val="DefaultParagraphFont"/>
    <w:link w:val="Header"/>
    <w:rsid w:val="0099743C"/>
    <w:rPr>
      <w:rFonts w:ascii="Century Gothic" w:hAnsi="Century Gothic"/>
      <w:sz w:val="20"/>
      <w:lang w:val="en-GB"/>
    </w:rPr>
  </w:style>
  <w:style w:type="paragraph" w:styleId="Footer">
    <w:name w:val="footer"/>
    <w:basedOn w:val="Normal"/>
    <w:link w:val="FooterChar"/>
    <w:uiPriority w:val="99"/>
    <w:rsid w:val="0099743C"/>
    <w:pPr>
      <w:tabs>
        <w:tab w:val="center" w:pos="4153"/>
        <w:tab w:val="right" w:pos="8306"/>
      </w:tabs>
      <w:spacing w:before="120" w:after="120"/>
      <w:jc w:val="both"/>
    </w:pPr>
    <w:rPr>
      <w:rFonts w:ascii="Century Gothic" w:hAnsi="Century Gothic"/>
      <w:sz w:val="20"/>
      <w:lang w:val="en-GB"/>
    </w:rPr>
  </w:style>
  <w:style w:type="character" w:customStyle="1" w:styleId="FooterChar">
    <w:name w:val="Footer Char"/>
    <w:basedOn w:val="DefaultParagraphFont"/>
    <w:link w:val="Footer"/>
    <w:uiPriority w:val="99"/>
    <w:rsid w:val="0099743C"/>
    <w:rPr>
      <w:rFonts w:ascii="Century Gothic" w:hAnsi="Century Gothic"/>
      <w:sz w:val="20"/>
      <w:lang w:val="en-GB"/>
    </w:rPr>
  </w:style>
  <w:style w:type="character" w:styleId="PageNumber">
    <w:name w:val="page number"/>
    <w:basedOn w:val="DefaultParagraphFont"/>
    <w:rsid w:val="0099743C"/>
  </w:style>
  <w:style w:type="paragraph" w:styleId="FootnoteText">
    <w:name w:val="footnote text"/>
    <w:basedOn w:val="Normal"/>
    <w:link w:val="FootnoteTextChar"/>
    <w:semiHidden/>
    <w:rsid w:val="0099743C"/>
    <w:pPr>
      <w:widowControl w:val="0"/>
      <w:spacing w:before="120" w:after="120"/>
      <w:jc w:val="both"/>
    </w:pPr>
    <w:rPr>
      <w:rFonts w:ascii="Courier" w:hAnsi="Courier"/>
      <w:sz w:val="20"/>
      <w:szCs w:val="20"/>
    </w:rPr>
  </w:style>
  <w:style w:type="character" w:customStyle="1" w:styleId="FootnoteTextChar">
    <w:name w:val="Footnote Text Char"/>
    <w:basedOn w:val="DefaultParagraphFont"/>
    <w:link w:val="FootnoteText"/>
    <w:semiHidden/>
    <w:rsid w:val="0099743C"/>
    <w:rPr>
      <w:rFonts w:ascii="Courier" w:hAnsi="Courier"/>
      <w:sz w:val="20"/>
      <w:szCs w:val="20"/>
    </w:rPr>
  </w:style>
  <w:style w:type="paragraph" w:styleId="BodyText3">
    <w:name w:val="Body Text 3"/>
    <w:basedOn w:val="Normal"/>
    <w:link w:val="BodyText3Char"/>
    <w:rsid w:val="0099743C"/>
    <w:pPr>
      <w:spacing w:before="120" w:after="120"/>
      <w:jc w:val="both"/>
    </w:pPr>
    <w:rPr>
      <w:rFonts w:ascii="Arial" w:hAnsi="Arial"/>
      <w:sz w:val="22"/>
      <w:szCs w:val="20"/>
    </w:rPr>
  </w:style>
  <w:style w:type="character" w:customStyle="1" w:styleId="BodyText3Char">
    <w:name w:val="Body Text 3 Char"/>
    <w:basedOn w:val="DefaultParagraphFont"/>
    <w:link w:val="BodyText3"/>
    <w:rsid w:val="0099743C"/>
    <w:rPr>
      <w:rFonts w:ascii="Arial" w:hAnsi="Arial"/>
      <w:sz w:val="22"/>
      <w:szCs w:val="20"/>
    </w:rPr>
  </w:style>
  <w:style w:type="paragraph" w:styleId="BodyTextIndent">
    <w:name w:val="Body Text Indent"/>
    <w:basedOn w:val="Normal"/>
    <w:link w:val="BodyTextIndentChar"/>
    <w:rsid w:val="0099743C"/>
    <w:pPr>
      <w:tabs>
        <w:tab w:val="left" w:pos="360"/>
      </w:tabs>
      <w:spacing w:before="120" w:after="120"/>
      <w:jc w:val="both"/>
    </w:pPr>
    <w:rPr>
      <w:rFonts w:ascii="Arial" w:hAnsi="Arial"/>
      <w:b/>
      <w:i/>
      <w:sz w:val="28"/>
      <w:szCs w:val="20"/>
    </w:rPr>
  </w:style>
  <w:style w:type="character" w:customStyle="1" w:styleId="BodyTextIndentChar">
    <w:name w:val="Body Text Indent Char"/>
    <w:basedOn w:val="DefaultParagraphFont"/>
    <w:link w:val="BodyTextIndent"/>
    <w:rsid w:val="0099743C"/>
    <w:rPr>
      <w:rFonts w:ascii="Arial" w:hAnsi="Arial"/>
      <w:b/>
      <w:i/>
      <w:sz w:val="28"/>
      <w:szCs w:val="20"/>
    </w:rPr>
  </w:style>
  <w:style w:type="character" w:styleId="Hyperlink">
    <w:name w:val="Hyperlink"/>
    <w:basedOn w:val="DefaultParagraphFont"/>
    <w:rsid w:val="0099743C"/>
    <w:rPr>
      <w:color w:val="0000FF"/>
      <w:u w:val="single"/>
    </w:rPr>
  </w:style>
  <w:style w:type="character" w:styleId="FollowedHyperlink">
    <w:name w:val="FollowedHyperlink"/>
    <w:basedOn w:val="DefaultParagraphFont"/>
    <w:rsid w:val="0099743C"/>
    <w:rPr>
      <w:color w:val="800080"/>
      <w:u w:val="single"/>
    </w:rPr>
  </w:style>
  <w:style w:type="paragraph" w:styleId="BodyText">
    <w:name w:val="Body Text"/>
    <w:basedOn w:val="Normal"/>
    <w:link w:val="BodyTextChar"/>
    <w:rsid w:val="0099743C"/>
    <w:pPr>
      <w:pBdr>
        <w:bottom w:val="single" w:sz="4" w:space="1" w:color="auto"/>
      </w:pBdr>
      <w:spacing w:before="120" w:after="120"/>
      <w:jc w:val="both"/>
    </w:pPr>
    <w:rPr>
      <w:rFonts w:ascii="Arial Narrow" w:hAnsi="Arial Narrow"/>
      <w:i/>
      <w:iCs/>
      <w:sz w:val="22"/>
      <w:lang w:val="en-GB"/>
    </w:rPr>
  </w:style>
  <w:style w:type="character" w:customStyle="1" w:styleId="BodyTextChar">
    <w:name w:val="Body Text Char"/>
    <w:basedOn w:val="DefaultParagraphFont"/>
    <w:link w:val="BodyText"/>
    <w:rsid w:val="0099743C"/>
    <w:rPr>
      <w:rFonts w:ascii="Arial Narrow" w:hAnsi="Arial Narrow"/>
      <w:i/>
      <w:iCs/>
      <w:sz w:val="22"/>
      <w:lang w:val="en-GB"/>
    </w:rPr>
  </w:style>
  <w:style w:type="paragraph" w:styleId="BodyText2">
    <w:name w:val="Body Text 2"/>
    <w:basedOn w:val="Normal"/>
    <w:link w:val="BodyText2Char"/>
    <w:rsid w:val="0099743C"/>
    <w:pPr>
      <w:spacing w:before="120" w:after="120"/>
      <w:jc w:val="both"/>
    </w:pPr>
    <w:rPr>
      <w:rFonts w:ascii="Arial Narrow" w:hAnsi="Arial Narrow"/>
      <w:sz w:val="22"/>
      <w:lang w:val="en-GB"/>
    </w:rPr>
  </w:style>
  <w:style w:type="character" w:customStyle="1" w:styleId="BodyText2Char">
    <w:name w:val="Body Text 2 Char"/>
    <w:basedOn w:val="DefaultParagraphFont"/>
    <w:link w:val="BodyText2"/>
    <w:rsid w:val="0099743C"/>
    <w:rPr>
      <w:rFonts w:ascii="Arial Narrow" w:hAnsi="Arial Narrow"/>
      <w:sz w:val="22"/>
      <w:lang w:val="en-GB"/>
    </w:rPr>
  </w:style>
  <w:style w:type="paragraph" w:styleId="BalloonText">
    <w:name w:val="Balloon Text"/>
    <w:basedOn w:val="Normal"/>
    <w:link w:val="BalloonTextChar"/>
    <w:semiHidden/>
    <w:rsid w:val="0099743C"/>
    <w:pPr>
      <w:spacing w:before="120" w:after="120"/>
      <w:jc w:val="both"/>
    </w:pPr>
    <w:rPr>
      <w:rFonts w:ascii="Tahoma" w:hAnsi="Tahoma" w:cs="Tahoma"/>
      <w:sz w:val="16"/>
      <w:szCs w:val="16"/>
      <w:lang w:val="en-GB"/>
    </w:rPr>
  </w:style>
  <w:style w:type="character" w:customStyle="1" w:styleId="BalloonTextChar">
    <w:name w:val="Balloon Text Char"/>
    <w:basedOn w:val="DefaultParagraphFont"/>
    <w:link w:val="BalloonText"/>
    <w:semiHidden/>
    <w:rsid w:val="0099743C"/>
    <w:rPr>
      <w:rFonts w:ascii="Tahoma" w:hAnsi="Tahoma" w:cs="Tahoma"/>
      <w:sz w:val="16"/>
      <w:szCs w:val="16"/>
      <w:lang w:val="en-GB"/>
    </w:rPr>
  </w:style>
  <w:style w:type="paragraph" w:styleId="CommentSubject">
    <w:name w:val="annotation subject"/>
    <w:basedOn w:val="CommentText"/>
    <w:next w:val="CommentText"/>
    <w:link w:val="CommentSubjectChar"/>
    <w:semiHidden/>
    <w:rsid w:val="0099743C"/>
    <w:pPr>
      <w:spacing w:before="120" w:after="120"/>
      <w:jc w:val="both"/>
    </w:pPr>
    <w:rPr>
      <w:rFonts w:ascii="Century Gothic" w:hAnsi="Century Gothic"/>
      <w:b/>
      <w:bCs/>
      <w:lang w:val="en-GB"/>
    </w:rPr>
  </w:style>
  <w:style w:type="character" w:customStyle="1" w:styleId="CommentSubjectChar">
    <w:name w:val="Comment Subject Char"/>
    <w:basedOn w:val="CommentTextChar"/>
    <w:link w:val="CommentSubject"/>
    <w:semiHidden/>
    <w:rsid w:val="0099743C"/>
    <w:rPr>
      <w:rFonts w:ascii="Century Gothic" w:hAnsi="Century Gothic"/>
      <w:b/>
      <w:bCs/>
      <w:sz w:val="20"/>
      <w:szCs w:val="20"/>
      <w:lang w:val="en-GB"/>
    </w:rPr>
  </w:style>
  <w:style w:type="paragraph" w:styleId="NormalWeb">
    <w:name w:val="Normal (Web)"/>
    <w:basedOn w:val="Normal"/>
    <w:rsid w:val="0099743C"/>
    <w:pPr>
      <w:spacing w:before="100" w:beforeAutospacing="1" w:after="100" w:afterAutospacing="1"/>
      <w:jc w:val="both"/>
    </w:pPr>
  </w:style>
  <w:style w:type="character" w:customStyle="1" w:styleId="UnresolvedMention1">
    <w:name w:val="Unresolved Mention1"/>
    <w:basedOn w:val="DefaultParagraphFont"/>
    <w:uiPriority w:val="99"/>
    <w:semiHidden/>
    <w:unhideWhenUsed/>
    <w:rsid w:val="0099743C"/>
    <w:rPr>
      <w:color w:val="808080"/>
      <w:shd w:val="clear" w:color="auto" w:fill="E6E6E6"/>
    </w:rPr>
  </w:style>
  <w:style w:type="character" w:styleId="UnresolvedMention">
    <w:name w:val="Unresolved Mention"/>
    <w:basedOn w:val="DefaultParagraphFont"/>
    <w:uiPriority w:val="99"/>
    <w:semiHidden/>
    <w:unhideWhenUsed/>
    <w:rsid w:val="0099743C"/>
    <w:rPr>
      <w:color w:val="605E5C"/>
      <w:shd w:val="clear" w:color="auto" w:fill="E1DFDD"/>
    </w:rPr>
  </w:style>
  <w:style w:type="character" w:styleId="FootnoteReference">
    <w:name w:val="footnote reference"/>
    <w:basedOn w:val="DefaultParagraphFont"/>
    <w:rsid w:val="0099743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7203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5B814C7A8A1469399351A4CD834AD35"/>
        <w:category>
          <w:name w:val="General"/>
          <w:gallery w:val="placeholder"/>
        </w:category>
        <w:types>
          <w:type w:val="bbPlcHdr"/>
        </w:types>
        <w:behaviors>
          <w:behavior w:val="content"/>
        </w:behaviors>
        <w:guid w:val="{42045224-EC7D-49F3-9484-3987676FD383}"/>
      </w:docPartPr>
      <w:docPartBody>
        <w:p w:rsidR="007671F1" w:rsidRDefault="004614AD" w:rsidP="004614AD">
          <w:pPr>
            <w:pStyle w:val="C5B814C7A8A1469399351A4CD834AD35"/>
          </w:pPr>
          <w:r w:rsidRPr="00A07C84">
            <w:rPr>
              <w:rStyle w:val="PlaceholderText"/>
            </w:rPr>
            <w:t>Choose an item.</w:t>
          </w:r>
        </w:p>
      </w:docPartBody>
    </w:docPart>
    <w:docPart>
      <w:docPartPr>
        <w:name w:val="3C603C689A3E4B92B6F9D0908BA9E58B"/>
        <w:category>
          <w:name w:val="General"/>
          <w:gallery w:val="placeholder"/>
        </w:category>
        <w:types>
          <w:type w:val="bbPlcHdr"/>
        </w:types>
        <w:behaviors>
          <w:behavior w:val="content"/>
        </w:behaviors>
        <w:guid w:val="{F0076466-12F4-4F59-8C82-55B31DCE569F}"/>
      </w:docPartPr>
      <w:docPartBody>
        <w:p w:rsidR="007671F1" w:rsidRDefault="004614AD" w:rsidP="004614AD">
          <w:pPr>
            <w:pStyle w:val="3C603C689A3E4B92B6F9D0908BA9E58B"/>
          </w:pPr>
          <w:r w:rsidRPr="00A07C84">
            <w:rPr>
              <w:rStyle w:val="PlaceholderText"/>
            </w:rPr>
            <w:t>Choose an item.</w:t>
          </w:r>
        </w:p>
      </w:docPartBody>
    </w:docPart>
    <w:docPart>
      <w:docPartPr>
        <w:name w:val="978FCEB7800C4670AB5728E85A95AEDB"/>
        <w:category>
          <w:name w:val="General"/>
          <w:gallery w:val="placeholder"/>
        </w:category>
        <w:types>
          <w:type w:val="bbPlcHdr"/>
        </w:types>
        <w:behaviors>
          <w:behavior w:val="content"/>
        </w:behaviors>
        <w:guid w:val="{96D9DB31-C249-40F7-8E68-EC30AE1D387B}"/>
      </w:docPartPr>
      <w:docPartBody>
        <w:p w:rsidR="007671F1" w:rsidRDefault="004614AD" w:rsidP="004614AD">
          <w:pPr>
            <w:pStyle w:val="978FCEB7800C4670AB5728E85A95AEDB"/>
          </w:pPr>
          <w:r w:rsidRPr="00A07C84">
            <w:rPr>
              <w:rStyle w:val="PlaceholderText"/>
            </w:rPr>
            <w:t>Click or tap to enter a date.</w:t>
          </w:r>
        </w:p>
      </w:docPartBody>
    </w:docPart>
    <w:docPart>
      <w:docPartPr>
        <w:name w:val="CFA6C8BD97794AB7BB516AA6EB3D64B0"/>
        <w:category>
          <w:name w:val="General"/>
          <w:gallery w:val="placeholder"/>
        </w:category>
        <w:types>
          <w:type w:val="bbPlcHdr"/>
        </w:types>
        <w:behaviors>
          <w:behavior w:val="content"/>
        </w:behaviors>
        <w:guid w:val="{2DFF3BB9-6B68-4260-8AF1-A2307549B438}"/>
      </w:docPartPr>
      <w:docPartBody>
        <w:p w:rsidR="007671F1" w:rsidRDefault="004614AD" w:rsidP="004614AD">
          <w:pPr>
            <w:pStyle w:val="CFA6C8BD97794AB7BB516AA6EB3D64B0"/>
          </w:pPr>
          <w:r w:rsidRPr="00A07C84">
            <w:rPr>
              <w:rStyle w:val="PlaceholderText"/>
            </w:rPr>
            <w:t>Choose an item.</w:t>
          </w:r>
        </w:p>
      </w:docPartBody>
    </w:docPart>
    <w:docPart>
      <w:docPartPr>
        <w:name w:val="FA3F69CAE6D146B59A9708761C7D3359"/>
        <w:category>
          <w:name w:val="General"/>
          <w:gallery w:val="placeholder"/>
        </w:category>
        <w:types>
          <w:type w:val="bbPlcHdr"/>
        </w:types>
        <w:behaviors>
          <w:behavior w:val="content"/>
        </w:behaviors>
        <w:guid w:val="{72391A26-D872-4429-B00D-E26ED7CED5E3}"/>
      </w:docPartPr>
      <w:docPartBody>
        <w:p w:rsidR="007671F1" w:rsidRDefault="004614AD" w:rsidP="004614AD">
          <w:pPr>
            <w:pStyle w:val="FA3F69CAE6D146B59A9708761C7D3359"/>
          </w:pPr>
          <w:r w:rsidRPr="00A07C84">
            <w:rPr>
              <w:rStyle w:val="PlaceholderText"/>
            </w:rPr>
            <w:t>Choose an item.</w:t>
          </w:r>
        </w:p>
      </w:docPartBody>
    </w:docPart>
    <w:docPart>
      <w:docPartPr>
        <w:name w:val="A7D346FE31E2489EBDD0F0ADD8CB9951"/>
        <w:category>
          <w:name w:val="General"/>
          <w:gallery w:val="placeholder"/>
        </w:category>
        <w:types>
          <w:type w:val="bbPlcHdr"/>
        </w:types>
        <w:behaviors>
          <w:behavior w:val="content"/>
        </w:behaviors>
        <w:guid w:val="{EF69A94D-DC3C-4AC8-A9B0-7DFF549F3BF4}"/>
      </w:docPartPr>
      <w:docPartBody>
        <w:p w:rsidR="007671F1" w:rsidRDefault="004614AD" w:rsidP="004614AD">
          <w:pPr>
            <w:pStyle w:val="A7D346FE31E2489EBDD0F0ADD8CB9951"/>
          </w:pPr>
          <w:r w:rsidRPr="00A07C84">
            <w:rPr>
              <w:rStyle w:val="PlaceholderText"/>
            </w:rPr>
            <w:t>Click or tap to enter a date.</w:t>
          </w:r>
        </w:p>
      </w:docPartBody>
    </w:docPart>
    <w:docPart>
      <w:docPartPr>
        <w:name w:val="3B103E7E28C40E40BB29964BB769E26C"/>
        <w:category>
          <w:name w:val="General"/>
          <w:gallery w:val="placeholder"/>
        </w:category>
        <w:types>
          <w:type w:val="bbPlcHdr"/>
        </w:types>
        <w:behaviors>
          <w:behavior w:val="content"/>
        </w:behaviors>
        <w:guid w:val="{31EBCF85-4AB7-1940-9E40-E05D6949378C}"/>
      </w:docPartPr>
      <w:docPartBody>
        <w:p w:rsidR="002834A8" w:rsidRDefault="00A8758F" w:rsidP="00A8758F">
          <w:pPr>
            <w:pStyle w:val="3B103E7E28C40E40BB29964BB769E26C"/>
          </w:pPr>
          <w:r w:rsidRPr="00A07C84">
            <w:rPr>
              <w:rStyle w:val="PlaceholderText"/>
            </w:rPr>
            <w:t>Choose an item.</w:t>
          </w:r>
        </w:p>
      </w:docPartBody>
    </w:docPart>
    <w:docPart>
      <w:docPartPr>
        <w:name w:val="AB35E7AF5D9ADF4486F66DD1F347554D"/>
        <w:category>
          <w:name w:val="General"/>
          <w:gallery w:val="placeholder"/>
        </w:category>
        <w:types>
          <w:type w:val="bbPlcHdr"/>
        </w:types>
        <w:behaviors>
          <w:behavior w:val="content"/>
        </w:behaviors>
        <w:guid w:val="{A6AD2AB9-A3AF-9F42-B87A-85DFA2C1057F}"/>
      </w:docPartPr>
      <w:docPartBody>
        <w:p w:rsidR="002834A8" w:rsidRDefault="00A8758F" w:rsidP="00A8758F">
          <w:pPr>
            <w:pStyle w:val="AB35E7AF5D9ADF4486F66DD1F347554D"/>
          </w:pPr>
          <w:r w:rsidRPr="00A07C84">
            <w:rPr>
              <w:rStyle w:val="PlaceholderText"/>
            </w:rPr>
            <w:t>Choose an item.</w:t>
          </w:r>
        </w:p>
      </w:docPartBody>
    </w:docPart>
    <w:docPart>
      <w:docPartPr>
        <w:name w:val="3AEA77F4BFFCAF41BD813F4F7FB2A664"/>
        <w:category>
          <w:name w:val="General"/>
          <w:gallery w:val="placeholder"/>
        </w:category>
        <w:types>
          <w:type w:val="bbPlcHdr"/>
        </w:types>
        <w:behaviors>
          <w:behavior w:val="content"/>
        </w:behaviors>
        <w:guid w:val="{79C17350-DFD6-B443-8A2E-2B454A79990E}"/>
      </w:docPartPr>
      <w:docPartBody>
        <w:p w:rsidR="002834A8" w:rsidRDefault="00A8758F" w:rsidP="00A8758F">
          <w:pPr>
            <w:pStyle w:val="3AEA77F4BFFCAF41BD813F4F7FB2A664"/>
          </w:pPr>
          <w:r w:rsidRPr="00A07C84">
            <w:rPr>
              <w:rStyle w:val="PlaceholderText"/>
            </w:rPr>
            <w:t>Click or tap to enter a date.</w:t>
          </w:r>
        </w:p>
      </w:docPartBody>
    </w:docPart>
    <w:docPart>
      <w:docPartPr>
        <w:name w:val="989AA53A44D84C27800F84ABC4A2A841"/>
        <w:category>
          <w:name w:val="General"/>
          <w:gallery w:val="placeholder"/>
        </w:category>
        <w:types>
          <w:type w:val="bbPlcHdr"/>
        </w:types>
        <w:behaviors>
          <w:behavior w:val="content"/>
        </w:behaviors>
        <w:guid w:val="{A0F4A8A1-259E-4F16-B810-9B376DD75C70}"/>
      </w:docPartPr>
      <w:docPartBody>
        <w:p w:rsidR="00000000" w:rsidRDefault="000E6651" w:rsidP="000E6651">
          <w:pPr>
            <w:pStyle w:val="989AA53A44D84C27800F84ABC4A2A841"/>
          </w:pPr>
          <w:r w:rsidRPr="00A07C84">
            <w:rPr>
              <w:rStyle w:val="PlaceholderText"/>
            </w:rPr>
            <w:t>Choose an item.</w:t>
          </w:r>
        </w:p>
      </w:docPartBody>
    </w:docPart>
    <w:docPart>
      <w:docPartPr>
        <w:name w:val="82287E45503545A6B7A748143A352B55"/>
        <w:category>
          <w:name w:val="General"/>
          <w:gallery w:val="placeholder"/>
        </w:category>
        <w:types>
          <w:type w:val="bbPlcHdr"/>
        </w:types>
        <w:behaviors>
          <w:behavior w:val="content"/>
        </w:behaviors>
        <w:guid w:val="{4F21F265-96F5-4E19-BB6D-6F9E0A29517F}"/>
      </w:docPartPr>
      <w:docPartBody>
        <w:p w:rsidR="00000000" w:rsidRDefault="000E6651" w:rsidP="000E6651">
          <w:pPr>
            <w:pStyle w:val="82287E45503545A6B7A748143A352B55"/>
          </w:pPr>
          <w:r w:rsidRPr="00A07C84">
            <w:rPr>
              <w:rStyle w:val="PlaceholderText"/>
            </w:rPr>
            <w:t>Choose an item.</w:t>
          </w:r>
        </w:p>
      </w:docPartBody>
    </w:docPart>
    <w:docPart>
      <w:docPartPr>
        <w:name w:val="F7401304989C493DA9A03C81C4C2CFD8"/>
        <w:category>
          <w:name w:val="General"/>
          <w:gallery w:val="placeholder"/>
        </w:category>
        <w:types>
          <w:type w:val="bbPlcHdr"/>
        </w:types>
        <w:behaviors>
          <w:behavior w:val="content"/>
        </w:behaviors>
        <w:guid w:val="{8F23810A-A102-4E09-9973-8F2371DB5961}"/>
      </w:docPartPr>
      <w:docPartBody>
        <w:p w:rsidR="00000000" w:rsidRDefault="000E6651" w:rsidP="000E6651">
          <w:pPr>
            <w:pStyle w:val="F7401304989C493DA9A03C81C4C2CFD8"/>
          </w:pPr>
          <w:r w:rsidRPr="00A07C84">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mo">
    <w:altName w:val="Calibri"/>
    <w:charset w:val="00"/>
    <w:family w:val="auto"/>
    <w:pitch w:val="default"/>
  </w:font>
  <w:font w:name="Noto Sans Symbols">
    <w:altName w:val="Calibri"/>
    <w:charset w:val="00"/>
    <w:family w:val="auto"/>
    <w:pitch w:val="default"/>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entury Gothic">
    <w:panose1 w:val="020B0502020202020204"/>
    <w:charset w:val="00"/>
    <w:family w:val="swiss"/>
    <w:pitch w:val="variable"/>
    <w:sig w:usb0="00000287" w:usb1="00000000" w:usb2="00000000" w:usb3="00000000" w:csb0="0000009F" w:csb1="00000000"/>
  </w:font>
  <w:font w:name="Courier">
    <w:panose1 w:val="02070409020205020404"/>
    <w:charset w:val="00"/>
    <w:family w:val="modern"/>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14AD"/>
    <w:rsid w:val="000727B6"/>
    <w:rsid w:val="00096A1F"/>
    <w:rsid w:val="000A0269"/>
    <w:rsid w:val="000E6651"/>
    <w:rsid w:val="001552C8"/>
    <w:rsid w:val="002834A8"/>
    <w:rsid w:val="00372EFE"/>
    <w:rsid w:val="004607DE"/>
    <w:rsid w:val="004614AD"/>
    <w:rsid w:val="00727E60"/>
    <w:rsid w:val="007671F1"/>
    <w:rsid w:val="00797EAF"/>
    <w:rsid w:val="009C1591"/>
    <w:rsid w:val="00A8758F"/>
    <w:rsid w:val="00A95E4C"/>
    <w:rsid w:val="00BD0A65"/>
    <w:rsid w:val="00CA2031"/>
    <w:rsid w:val="00DD09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E6651"/>
    <w:rPr>
      <w:color w:val="808080"/>
    </w:rPr>
  </w:style>
  <w:style w:type="paragraph" w:customStyle="1" w:styleId="303B8CD2C4864678B64AE7BB22F6205D">
    <w:name w:val="303B8CD2C4864678B64AE7BB22F6205D"/>
    <w:rsid w:val="004614AD"/>
  </w:style>
  <w:style w:type="paragraph" w:customStyle="1" w:styleId="F662B90D1B554235892EA139F3A0FD88">
    <w:name w:val="F662B90D1B554235892EA139F3A0FD88"/>
    <w:rsid w:val="004614AD"/>
  </w:style>
  <w:style w:type="paragraph" w:customStyle="1" w:styleId="70CDFEE617A6463E87F0D717858B11AF">
    <w:name w:val="70CDFEE617A6463E87F0D717858B11AF"/>
    <w:rsid w:val="004614AD"/>
  </w:style>
  <w:style w:type="paragraph" w:customStyle="1" w:styleId="66B8AED5CF8C4833A75630239B73D664">
    <w:name w:val="66B8AED5CF8C4833A75630239B73D664"/>
    <w:rsid w:val="004614AD"/>
  </w:style>
  <w:style w:type="paragraph" w:customStyle="1" w:styleId="432FD2A0A27D48C497083F32350B80E6">
    <w:name w:val="432FD2A0A27D48C497083F32350B80E6"/>
    <w:rsid w:val="004614AD"/>
  </w:style>
  <w:style w:type="paragraph" w:customStyle="1" w:styleId="5D71C98551CE4017A93BFAC41AB1A833">
    <w:name w:val="5D71C98551CE4017A93BFAC41AB1A833"/>
    <w:rsid w:val="004614AD"/>
  </w:style>
  <w:style w:type="paragraph" w:customStyle="1" w:styleId="C9ABA956FCDF42728E30E2C2C03E331B">
    <w:name w:val="C9ABA956FCDF42728E30E2C2C03E331B"/>
    <w:rsid w:val="004614AD"/>
  </w:style>
  <w:style w:type="paragraph" w:customStyle="1" w:styleId="9C1750A9FE5B419296F3B0FE8CF46A68">
    <w:name w:val="9C1750A9FE5B419296F3B0FE8CF46A68"/>
    <w:rsid w:val="004614AD"/>
  </w:style>
  <w:style w:type="paragraph" w:customStyle="1" w:styleId="C8A37A294B3946C9B4E2CF4400BDFE2C">
    <w:name w:val="C8A37A294B3946C9B4E2CF4400BDFE2C"/>
    <w:rsid w:val="004614AD"/>
  </w:style>
  <w:style w:type="paragraph" w:customStyle="1" w:styleId="C5B814C7A8A1469399351A4CD834AD35">
    <w:name w:val="C5B814C7A8A1469399351A4CD834AD35"/>
    <w:rsid w:val="004614AD"/>
  </w:style>
  <w:style w:type="paragraph" w:customStyle="1" w:styleId="3C603C689A3E4B92B6F9D0908BA9E58B">
    <w:name w:val="3C603C689A3E4B92B6F9D0908BA9E58B"/>
    <w:rsid w:val="004614AD"/>
  </w:style>
  <w:style w:type="paragraph" w:customStyle="1" w:styleId="978FCEB7800C4670AB5728E85A95AEDB">
    <w:name w:val="978FCEB7800C4670AB5728E85A95AEDB"/>
    <w:rsid w:val="004614AD"/>
  </w:style>
  <w:style w:type="paragraph" w:customStyle="1" w:styleId="CFA6C8BD97794AB7BB516AA6EB3D64B0">
    <w:name w:val="CFA6C8BD97794AB7BB516AA6EB3D64B0"/>
    <w:rsid w:val="004614AD"/>
  </w:style>
  <w:style w:type="paragraph" w:customStyle="1" w:styleId="FA3F69CAE6D146B59A9708761C7D3359">
    <w:name w:val="FA3F69CAE6D146B59A9708761C7D3359"/>
    <w:rsid w:val="004614AD"/>
  </w:style>
  <w:style w:type="paragraph" w:customStyle="1" w:styleId="A7D346FE31E2489EBDD0F0ADD8CB9951">
    <w:name w:val="A7D346FE31E2489EBDD0F0ADD8CB9951"/>
    <w:rsid w:val="004614AD"/>
  </w:style>
  <w:style w:type="paragraph" w:customStyle="1" w:styleId="3B103E7E28C40E40BB29964BB769E26C">
    <w:name w:val="3B103E7E28C40E40BB29964BB769E26C"/>
    <w:rsid w:val="00A8758F"/>
    <w:pPr>
      <w:spacing w:after="0" w:line="240" w:lineRule="auto"/>
    </w:pPr>
    <w:rPr>
      <w:sz w:val="24"/>
      <w:szCs w:val="24"/>
    </w:rPr>
  </w:style>
  <w:style w:type="paragraph" w:customStyle="1" w:styleId="AB35E7AF5D9ADF4486F66DD1F347554D">
    <w:name w:val="AB35E7AF5D9ADF4486F66DD1F347554D"/>
    <w:rsid w:val="00A8758F"/>
    <w:pPr>
      <w:spacing w:after="0" w:line="240" w:lineRule="auto"/>
    </w:pPr>
    <w:rPr>
      <w:sz w:val="24"/>
      <w:szCs w:val="24"/>
    </w:rPr>
  </w:style>
  <w:style w:type="paragraph" w:customStyle="1" w:styleId="3AEA77F4BFFCAF41BD813F4F7FB2A664">
    <w:name w:val="3AEA77F4BFFCAF41BD813F4F7FB2A664"/>
    <w:rsid w:val="00A8758F"/>
    <w:pPr>
      <w:spacing w:after="0" w:line="240" w:lineRule="auto"/>
    </w:pPr>
    <w:rPr>
      <w:sz w:val="24"/>
      <w:szCs w:val="24"/>
    </w:rPr>
  </w:style>
  <w:style w:type="paragraph" w:customStyle="1" w:styleId="3C31C42C1BA74915869323D08B7F2ACE">
    <w:name w:val="3C31C42C1BA74915869323D08B7F2ACE"/>
    <w:rsid w:val="000E6651"/>
  </w:style>
  <w:style w:type="paragraph" w:customStyle="1" w:styleId="28EEB4C7F44D439DADEA3D89CA175CA7">
    <w:name w:val="28EEB4C7F44D439DADEA3D89CA175CA7"/>
    <w:rsid w:val="000E6651"/>
  </w:style>
  <w:style w:type="paragraph" w:customStyle="1" w:styleId="52138D72B1B84261B14CF0DC2D2B34B8">
    <w:name w:val="52138D72B1B84261B14CF0DC2D2B34B8"/>
    <w:rsid w:val="000E6651"/>
  </w:style>
  <w:style w:type="paragraph" w:customStyle="1" w:styleId="70C355A012EA4241BD17F8F05A2F2B23">
    <w:name w:val="70C355A012EA4241BD17F8F05A2F2B23"/>
    <w:rsid w:val="000E6651"/>
  </w:style>
  <w:style w:type="paragraph" w:customStyle="1" w:styleId="960611E7307D4A0381ACA7CF1BF87370">
    <w:name w:val="960611E7307D4A0381ACA7CF1BF87370"/>
    <w:rsid w:val="000E6651"/>
  </w:style>
  <w:style w:type="paragraph" w:customStyle="1" w:styleId="EAB66984ACF844EB9FECF78265F251D5">
    <w:name w:val="EAB66984ACF844EB9FECF78265F251D5"/>
    <w:rsid w:val="000E6651"/>
  </w:style>
  <w:style w:type="paragraph" w:customStyle="1" w:styleId="C5A7C7556BB948B5BC2CC6DBA16DF92E">
    <w:name w:val="C5A7C7556BB948B5BC2CC6DBA16DF92E"/>
    <w:rsid w:val="000E6651"/>
  </w:style>
  <w:style w:type="paragraph" w:customStyle="1" w:styleId="C28B8BB5388A4C018ED57DEC5504B9E6">
    <w:name w:val="C28B8BB5388A4C018ED57DEC5504B9E6"/>
    <w:rsid w:val="000E6651"/>
  </w:style>
  <w:style w:type="paragraph" w:customStyle="1" w:styleId="A5D8CA312E844B9A9F2ADC65E9B0128D">
    <w:name w:val="A5D8CA312E844B9A9F2ADC65E9B0128D"/>
    <w:rsid w:val="000E6651"/>
  </w:style>
  <w:style w:type="paragraph" w:customStyle="1" w:styleId="879CDF487D604E578FA1B29C1186129D">
    <w:name w:val="879CDF487D604E578FA1B29C1186129D"/>
    <w:rsid w:val="000E6651"/>
  </w:style>
  <w:style w:type="paragraph" w:customStyle="1" w:styleId="5A21C713BD9B4332B1D712AAD73748E1">
    <w:name w:val="5A21C713BD9B4332B1D712AAD73748E1"/>
    <w:rsid w:val="000E6651"/>
  </w:style>
  <w:style w:type="paragraph" w:customStyle="1" w:styleId="E94CDA787A3146D0B37DD2AAAA4ACD38">
    <w:name w:val="E94CDA787A3146D0B37DD2AAAA4ACD38"/>
    <w:rsid w:val="000E6651"/>
  </w:style>
  <w:style w:type="paragraph" w:customStyle="1" w:styleId="A50AB6947D0D45A8B8EB67E360EE7364">
    <w:name w:val="A50AB6947D0D45A8B8EB67E360EE7364"/>
    <w:rsid w:val="000E6651"/>
  </w:style>
  <w:style w:type="paragraph" w:customStyle="1" w:styleId="21E9F7EF0C894B698B8D5310F1B6E87C">
    <w:name w:val="21E9F7EF0C894B698B8D5310F1B6E87C"/>
    <w:rsid w:val="000E6651"/>
  </w:style>
  <w:style w:type="paragraph" w:customStyle="1" w:styleId="5293DA6926204DAA9A3D7C6EA480E6B9">
    <w:name w:val="5293DA6926204DAA9A3D7C6EA480E6B9"/>
    <w:rsid w:val="000E6651"/>
  </w:style>
  <w:style w:type="paragraph" w:customStyle="1" w:styleId="DD37AB024688497C8E16618293195297">
    <w:name w:val="DD37AB024688497C8E16618293195297"/>
    <w:rsid w:val="000E6651"/>
  </w:style>
  <w:style w:type="paragraph" w:customStyle="1" w:styleId="447EFE47EF1E41BE84840D49D46C04D3">
    <w:name w:val="447EFE47EF1E41BE84840D49D46C04D3"/>
    <w:rsid w:val="000E6651"/>
  </w:style>
  <w:style w:type="paragraph" w:customStyle="1" w:styleId="D32498C7FC0F499DA50489B0F1A8A4CA">
    <w:name w:val="D32498C7FC0F499DA50489B0F1A8A4CA"/>
    <w:rsid w:val="000E6651"/>
  </w:style>
  <w:style w:type="paragraph" w:customStyle="1" w:styleId="DDF6082E056F4990B6FD92C534E2A9D6">
    <w:name w:val="DDF6082E056F4990B6FD92C534E2A9D6"/>
    <w:rsid w:val="000E6651"/>
  </w:style>
  <w:style w:type="paragraph" w:customStyle="1" w:styleId="41C95ADC04394B00A90911D410C80408">
    <w:name w:val="41C95ADC04394B00A90911D410C80408"/>
    <w:rsid w:val="000E6651"/>
  </w:style>
  <w:style w:type="paragraph" w:customStyle="1" w:styleId="CEE2EAF87EE54F6ABCF9E18B85E98C82">
    <w:name w:val="CEE2EAF87EE54F6ABCF9E18B85E98C82"/>
    <w:rsid w:val="000E6651"/>
  </w:style>
  <w:style w:type="paragraph" w:customStyle="1" w:styleId="989AA53A44D84C27800F84ABC4A2A841">
    <w:name w:val="989AA53A44D84C27800F84ABC4A2A841"/>
    <w:rsid w:val="000E6651"/>
  </w:style>
  <w:style w:type="paragraph" w:customStyle="1" w:styleId="82287E45503545A6B7A748143A352B55">
    <w:name w:val="82287E45503545A6B7A748143A352B55"/>
    <w:rsid w:val="000E6651"/>
  </w:style>
  <w:style w:type="paragraph" w:customStyle="1" w:styleId="F7401304989C493DA9A03C81C4C2CFD8">
    <w:name w:val="F7401304989C493DA9A03C81C4C2CFD8"/>
    <w:rsid w:val="000E665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963c438-3dc6-4614-a337-ee2a02decde0">
      <UserInfo>
        <DisplayName>marco@snowcone.fi</DisplayName>
        <AccountId>14</AccountId>
        <AccountType/>
      </UserInfo>
      <UserInfo>
        <DisplayName>Mamadou Ndaw</DisplayName>
        <AccountId>22</AccountId>
        <AccountType/>
      </UserInfo>
      <UserInfo>
        <DisplayName>Owen Edwards</DisplayName>
        <AccountId>13</AccountId>
        <AccountType/>
      </UserInfo>
      <UserInfo>
        <DisplayName>Alberto Lizzi</DisplayName>
        <AccountId>9</AccountId>
        <AccountType/>
      </UserInfo>
      <UserInfo>
        <DisplayName>Ida Uusikyla</DisplayName>
        <AccountId>38</AccountId>
        <AccountType/>
      </UserInfo>
      <UserInfo>
        <DisplayName>Teuku Rahmatsyah</DisplayName>
        <AccountId>12</AccountId>
        <AccountType/>
      </UserInfo>
      <UserInfo>
        <DisplayName>Florencia Celasco</DisplayName>
        <AccountId>63</AccountId>
        <AccountType/>
      </UserInfo>
      <UserInfo>
        <DisplayName>Francine Pickup</DisplayName>
        <AccountId>125</AccountId>
        <AccountType/>
      </UserInfo>
      <UserInfo>
        <DisplayName>Milica Begovic</DisplayName>
        <AccountId>114</AccountId>
        <AccountType/>
      </UserInfo>
      <UserInfo>
        <DisplayName>Faiza Effendi</DisplayName>
        <AccountId>17</AccountId>
        <AccountType/>
      </UserInfo>
      <UserInfo>
        <DisplayName>Celine Varin</DisplayName>
        <AccountId>257</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519CF427F7D3347898FB5867AB97824" ma:contentTypeVersion="6" ma:contentTypeDescription="Create a new document." ma:contentTypeScope="" ma:versionID="26b09371b4a1d424077140ad4d4db531">
  <xsd:schema xmlns:xsd="http://www.w3.org/2001/XMLSchema" xmlns:xs="http://www.w3.org/2001/XMLSchema" xmlns:p="http://schemas.microsoft.com/office/2006/metadata/properties" xmlns:ns2="cbbe7cac-fe94-4733-acb9-82202fd828d0" xmlns:ns3="9963c438-3dc6-4614-a337-ee2a02decde0" targetNamespace="http://schemas.microsoft.com/office/2006/metadata/properties" ma:root="true" ma:fieldsID="d8e2d7db070a3128b7006a5b2e06aa30" ns2:_="" ns3:_="">
    <xsd:import namespace="cbbe7cac-fe94-4733-acb9-82202fd828d0"/>
    <xsd:import namespace="9963c438-3dc6-4614-a337-ee2a02decde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be7cac-fe94-4733-acb9-82202fd828d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963c438-3dc6-4614-a337-ee2a02decde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SharedWithUsers xmlns="9963c438-3dc6-4614-a337-ee2a02decde0">
      <UserInfo>
        <DisplayName>Mamadou Ndaw</DisplayName>
        <AccountId>22</AccountId>
        <AccountType/>
      </UserInfo>
      <UserInfo>
        <DisplayName>Teuku Rahmatsyah</DisplayName>
        <AccountId>13</AccountId>
        <AccountType/>
      </UserInfo>
      <UserInfo>
        <DisplayName>Nesreen Al-Hebshi</DisplayName>
        <AccountId>51</AccountId>
        <AccountType/>
      </UserInfo>
      <UserInfo>
        <DisplayName>Clifford Ouedraogo</DisplayName>
        <AccountId>50</AccountId>
        <AccountType/>
      </UserInfo>
      <UserInfo>
        <DisplayName>Emiliana Zhivkova</DisplayName>
        <AccountId>49</AccountId>
        <AccountType/>
      </UserInfo>
      <UserInfo>
        <DisplayName>Pablo Morete</DisplayName>
        <AccountId>76</AccountId>
        <AccountType/>
      </UserInfo>
    </SharedWithUsers>
  </documentManagement>
</p:properties>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2F3F5546-A5F0-40BB-B9FB-595546849966}">
  <ds:schemaRefs>
    <ds:schemaRef ds:uri="http://schemas.microsoft.com/office/2006/metadata/properties"/>
    <ds:schemaRef ds:uri="http://schemas.microsoft.com/office/infopath/2007/PartnerControls"/>
    <ds:schemaRef ds:uri="9963c438-3dc6-4614-a337-ee2a02decde0"/>
  </ds:schemaRefs>
</ds:datastoreItem>
</file>

<file path=customXml/itemProps2.xml><?xml version="1.0" encoding="utf-8"?>
<ds:datastoreItem xmlns:ds="http://schemas.openxmlformats.org/officeDocument/2006/customXml" ds:itemID="{1E74CA24-E947-4588-90D5-48BD318294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be7cac-fe94-4733-acb9-82202fd828d0"/>
    <ds:schemaRef ds:uri="9963c438-3dc6-4614-a337-ee2a02decd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1F4663-163A-4C3E-BF37-BD73297E0A37}">
  <ds:schemaRefs>
    <ds:schemaRef ds:uri="http://schemas.openxmlformats.org/officeDocument/2006/bibliography"/>
  </ds:schemaRefs>
</ds:datastoreItem>
</file>

<file path=customXml/itemProps4.xml><?xml version="1.0" encoding="utf-8"?>
<ds:datastoreItem xmlns:ds="http://schemas.openxmlformats.org/officeDocument/2006/customXml" ds:itemID="{E8448CFF-283C-4998-893C-6B6962B50F2B}">
  <ds:schemaRefs>
    <ds:schemaRef ds:uri="http://schemas.microsoft.com/sharepoint/v3/contenttype/forms"/>
  </ds:schemaRefs>
</ds:datastoreItem>
</file>

<file path=customXml/itemProps5.xml><?xml version="1.0" encoding="utf-8"?>
<ds:datastoreItem xmlns:ds="http://schemas.openxmlformats.org/officeDocument/2006/customXml" ds:itemID="{70423023-79E5-41B6-A7DB-D9AA2542DD99}">
  <ds:schemaRefs>
    <ds:schemaRef ds:uri="http://schemas.microsoft.com/sharepoint/v3/contenttype/forms"/>
  </ds:schemaRefs>
</ds:datastoreItem>
</file>

<file path=customXml/itemProps6.xml><?xml version="1.0" encoding="utf-8"?>
<ds:datastoreItem xmlns:ds="http://schemas.openxmlformats.org/officeDocument/2006/customXml" ds:itemID="{741F5B45-2B77-4EAA-B8E7-89082238F68F}">
  <ds:schemaRefs>
    <ds:schemaRef ds:uri="http://schemas.microsoft.com/office/2006/metadata/properties"/>
    <ds:schemaRef ds:uri="http://schemas.microsoft.com/office/infopath/2007/PartnerControls"/>
    <ds:schemaRef ds:uri="9963c438-3dc6-4614-a337-ee2a02decde0"/>
  </ds:schemaRefs>
</ds:datastoreItem>
</file>

<file path=customXml/itemProps7.xml><?xml version="1.0" encoding="utf-8"?>
<ds:datastoreItem xmlns:ds="http://schemas.openxmlformats.org/officeDocument/2006/customXml" ds:itemID="{97F54871-1B18-44EF-979C-F49997A589AB}">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4</Pages>
  <Words>1008</Words>
  <Characters>5748</Characters>
  <Application>Microsoft Office Word</Application>
  <DocSecurity>0</DocSecurity>
  <Lines>47</Lines>
  <Paragraphs>13</Paragraphs>
  <ScaleCrop>false</ScaleCrop>
  <Company/>
  <LinksUpToDate>false</LinksUpToDate>
  <CharactersWithSpaces>6743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Teuku Rahmatsyah</dc:creator>
  <cp:lastModifiedBy>Cansu Demir</cp:lastModifiedBy>
  <cp:revision>68</cp:revision>
  <dcterms:created xsi:type="dcterms:W3CDTF">2024-03-22T12:19:00Z</dcterms:created>
  <dcterms:modified xsi:type="dcterms:W3CDTF">2024-11-26T13:52:00Z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0x0101000519CF427F7D3347898FB5867AB97824</vt:lpwstr>
  </property>
  <property fmtid="{D5CDD505-2E9C-101B-9397-08002B2CF9AE}" pid="3" name="Order">
    <vt:lpwstr>9600.00000000000</vt:lpwstr>
  </property>
  <property fmtid="{D5CDD505-2E9C-101B-9397-08002B2CF9AE}" pid="4" name="UNDPPOPPSubprocess">
    <vt:lpwstr>Defining a Project</vt:lpwstr>
  </property>
  <property fmtid="{D5CDD505-2E9C-101B-9397-08002B2CF9AE}" pid="5" name="POPPBusinessProcess">
    <vt:lpwstr/>
  </property>
  <property fmtid="{D5CDD505-2E9C-101B-9397-08002B2CF9AE}" pid="6" name="_dlc_DocIdItemGuid">
    <vt:lpwstr>64d7d456-11f8-442d-ab05-7fcb61e88097</vt:lpwstr>
  </property>
  <property fmtid="{D5CDD505-2E9C-101B-9397-08002B2CF9AE}" pid="7" name="UNDPPOPPKeywords">
    <vt:lpwstr>47;#Risk Log|23b4097a-c60a-4e87-92ee-8af51c3acd97</vt:lpwstr>
  </property>
  <property fmtid="{D5CDD505-2E9C-101B-9397-08002B2CF9AE}" pid="8" name="UNDP_POPP_BUSINESSUNIT">
    <vt:lpwstr>356;#Accountability|5b42d95a-f181-4192-a566-012e3d461a46</vt:lpwstr>
  </property>
  <property fmtid="{D5CDD505-2E9C-101B-9397-08002B2CF9AE}" pid="9" name="UNDP_POPP_BUSINESSPROCESS_HIDDEN">
    <vt:lpwstr/>
  </property>
  <property fmtid="{D5CDD505-2E9C-101B-9397-08002B2CF9AE}" pid="10" name="TaxCatchAll">
    <vt:lpwstr>669;#Programme and Project Management|1c019435-9793-447e-8959-0b32d23bf3d5</vt:lpwstr>
  </property>
  <property fmtid="{D5CDD505-2E9C-101B-9397-08002B2CF9AE}" pid="11" name="l0e6ef0c43e74560bd7f3acd1f5e8571">
    <vt:lpwstr>Programme and Project Management|1c019435-9793-447e-8959-0b32d23bf3d5</vt:lpwstr>
  </property>
  <property fmtid="{D5CDD505-2E9C-101B-9397-08002B2CF9AE}" pid="12" name="DLCPolicyLabelValue">
    <vt:lpwstr>Effective Date: {Effective Date}                                                Version #: {POPPRefItemVersion}</vt:lpwstr>
  </property>
  <property fmtid="{D5CDD505-2E9C-101B-9397-08002B2CF9AE}" pid="13" name="SharedWithUsers">
    <vt:lpwstr>22;#Mamadou Ndaw;#13;#Teuku Rahmatsyah;#51;#Nesreen Al-Hebshi;#50;#Clifford Ouedraogo;#49;#Emiliana Zhivkova;#76;#Pablo Morete</vt:lpwstr>
  </property>
  <property fmtid="{D5CDD505-2E9C-101B-9397-08002B2CF9AE}" pid="14" name="MediaServiceImageTags">
    <vt:lpwstr/>
  </property>
</Properties>
</file>